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129D" w14:textId="65ECAE91" w:rsidR="00917E13" w:rsidRDefault="00917E13" w:rsidP="00917E13">
      <w:pPr>
        <w:spacing w:after="120"/>
        <w:rPr>
          <w:rFonts w:asciiTheme="minorHAnsi" w:hAnsiTheme="minorHAnsi" w:cs="Arial"/>
          <w:color w:val="216182" w:themeColor="accent2" w:themeShade="BF"/>
          <w:sz w:val="40"/>
          <w:szCs w:val="40"/>
        </w:rPr>
      </w:pPr>
      <w:r>
        <w:rPr>
          <w:rFonts w:ascii="FrutigerLTPro-Light" w:hAnsi="FrutigerLTPro-Light" w:cs="Arial"/>
          <w:noProof/>
          <w:color w:val="747D83"/>
        </w:rPr>
        <w:drawing>
          <wp:inline distT="0" distB="0" distL="0" distR="0" wp14:anchorId="3CBAC877" wp14:editId="3E628DF4">
            <wp:extent cx="1905000" cy="323850"/>
            <wp:effectExtent l="0" t="0" r="0" b="0"/>
            <wp:docPr id="2" name="Picture 2" descr="https://www.westconcomstor.com/content/dam/wcgcom/Global/Cloud/Vendors/Microsoft/HomePage_MicrosoftLogo_Feature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concomstor.com/content/dam/wcgcom/Global/Cloud/Vendors/Microsoft/HomePage_MicrosoftLogo_FeatureVen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bookmarkStart w:id="0" w:name="_GoBack"/>
      <w:bookmarkEnd w:id="0"/>
    </w:p>
    <w:p w14:paraId="75233C36" w14:textId="77777777" w:rsidR="00917E13" w:rsidRPr="00917E13" w:rsidRDefault="00917E13" w:rsidP="00917E13">
      <w:pPr>
        <w:spacing w:after="120"/>
        <w:rPr>
          <w:rFonts w:asciiTheme="minorHAnsi" w:hAnsiTheme="minorHAnsi" w:cs="Arial"/>
          <w:color w:val="216182" w:themeColor="accent2" w:themeShade="BF"/>
          <w:sz w:val="40"/>
          <w:szCs w:val="40"/>
        </w:rPr>
      </w:pPr>
      <w:r w:rsidRPr="00917E13">
        <w:rPr>
          <w:rFonts w:asciiTheme="minorHAnsi" w:hAnsiTheme="minorHAnsi" w:cs="Arial"/>
          <w:color w:val="216182" w:themeColor="accent2" w:themeShade="BF"/>
          <w:sz w:val="40"/>
          <w:szCs w:val="40"/>
        </w:rPr>
        <w:t>Facebook posts</w:t>
      </w:r>
    </w:p>
    <w:p w14:paraId="63C9DF79" w14:textId="77777777" w:rsidR="00917E13" w:rsidRPr="009E6755" w:rsidRDefault="00917E13" w:rsidP="00917E13">
      <w:pPr>
        <w:spacing w:after="120"/>
        <w:rPr>
          <w:rFonts w:asciiTheme="minorHAnsi" w:hAnsiTheme="minorHAnsi" w:cs="Arial"/>
          <w:b/>
          <w:sz w:val="24"/>
          <w:szCs w:val="24"/>
        </w:rPr>
      </w:pPr>
      <w:r w:rsidRPr="009E6755">
        <w:rPr>
          <w:rFonts w:asciiTheme="minorHAnsi" w:hAnsiTheme="minorHAnsi" w:cs="Arial"/>
          <w:b/>
          <w:sz w:val="24"/>
          <w:szCs w:val="24"/>
        </w:rPr>
        <w:t>Azure Site Recovery and Backup</w:t>
      </w:r>
    </w:p>
    <w:p w14:paraId="528F0889" w14:textId="77777777" w:rsidR="00917E13" w:rsidRPr="00917E13" w:rsidRDefault="00917E13" w:rsidP="00917E13">
      <w:pPr>
        <w:rPr>
          <w:rFonts w:asciiTheme="minorHAnsi" w:hAnsiTheme="minorHAnsi" w:cs="Arial"/>
          <w:color w:val="216182" w:themeColor="accent2" w:themeShade="BF"/>
          <w:sz w:val="24"/>
          <w:szCs w:val="24"/>
        </w:rPr>
      </w:pPr>
      <w:r w:rsidRPr="00917E13">
        <w:rPr>
          <w:rFonts w:asciiTheme="minorHAnsi" w:hAnsiTheme="minorHAnsi" w:cs="Arial"/>
          <w:color w:val="216182" w:themeColor="accent2" w:themeShade="BF"/>
          <w:sz w:val="24"/>
          <w:szCs w:val="24"/>
        </w:rPr>
        <w:t>How to use</w:t>
      </w:r>
    </w:p>
    <w:p w14:paraId="544758F8"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sz w:val="24"/>
          <w:szCs w:val="24"/>
        </w:rPr>
        <w:t xml:space="preserve">During your six-week Azure Site Recovery and Backup campaign, you will post 2-3 Facebook posts each week. These posts will lead to your website or landing page. </w:t>
      </w:r>
    </w:p>
    <w:p w14:paraId="502CFCD5"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sz w:val="24"/>
          <w:szCs w:val="24"/>
        </w:rPr>
        <w:t>Included in our content package:</w:t>
      </w:r>
    </w:p>
    <w:p w14:paraId="68EC4FF1" w14:textId="77777777" w:rsidR="00917E13" w:rsidRPr="00917E13" w:rsidRDefault="00917E13" w:rsidP="00917E13">
      <w:pPr>
        <w:pStyle w:val="ListParagraph"/>
        <w:widowControl/>
        <w:numPr>
          <w:ilvl w:val="0"/>
          <w:numId w:val="18"/>
        </w:numPr>
        <w:spacing w:before="0" w:after="160" w:line="259" w:lineRule="auto"/>
        <w:contextualSpacing/>
        <w:rPr>
          <w:rFonts w:asciiTheme="minorHAnsi" w:hAnsiTheme="minorHAnsi" w:cs="Arial"/>
          <w:sz w:val="24"/>
          <w:szCs w:val="24"/>
        </w:rPr>
      </w:pPr>
      <w:r w:rsidRPr="00917E13">
        <w:rPr>
          <w:rFonts w:asciiTheme="minorHAnsi" w:hAnsiTheme="minorHAnsi" w:cs="Arial"/>
          <w:sz w:val="24"/>
          <w:szCs w:val="24"/>
        </w:rPr>
        <w:t>Curated content for your Facebook posts (see table below)</w:t>
      </w:r>
    </w:p>
    <w:p w14:paraId="4CC3C537" w14:textId="77777777" w:rsidR="00917E13" w:rsidRPr="00917E13" w:rsidRDefault="00917E13" w:rsidP="00917E13">
      <w:pPr>
        <w:pStyle w:val="ListParagraph"/>
        <w:widowControl/>
        <w:numPr>
          <w:ilvl w:val="0"/>
          <w:numId w:val="18"/>
        </w:numPr>
        <w:spacing w:before="0" w:after="160" w:line="259" w:lineRule="auto"/>
        <w:contextualSpacing/>
        <w:rPr>
          <w:rFonts w:asciiTheme="minorHAnsi" w:hAnsiTheme="minorHAnsi" w:cs="Arial"/>
          <w:sz w:val="24"/>
          <w:szCs w:val="24"/>
        </w:rPr>
      </w:pPr>
      <w:r w:rsidRPr="00917E13">
        <w:rPr>
          <w:rFonts w:asciiTheme="minorHAnsi" w:hAnsiTheme="minorHAnsi" w:cs="Arial"/>
          <w:sz w:val="24"/>
          <w:szCs w:val="24"/>
        </w:rPr>
        <w:t>Some images from Unsplash.com to use or change (in Zip file)</w:t>
      </w:r>
    </w:p>
    <w:p w14:paraId="0D71A1B4" w14:textId="77777777" w:rsidR="00917E13" w:rsidRPr="00917E13" w:rsidRDefault="00917E13" w:rsidP="00917E13">
      <w:pPr>
        <w:pStyle w:val="ListParagraph"/>
        <w:widowControl/>
        <w:numPr>
          <w:ilvl w:val="0"/>
          <w:numId w:val="18"/>
        </w:numPr>
        <w:spacing w:before="0" w:after="160" w:line="259" w:lineRule="auto"/>
        <w:contextualSpacing/>
        <w:rPr>
          <w:rFonts w:asciiTheme="minorHAnsi" w:hAnsiTheme="minorHAnsi" w:cs="Arial"/>
          <w:sz w:val="24"/>
          <w:szCs w:val="24"/>
        </w:rPr>
      </w:pPr>
      <w:r w:rsidRPr="00917E13">
        <w:rPr>
          <w:rFonts w:asciiTheme="minorHAnsi" w:hAnsiTheme="minorHAnsi" w:cs="Arial"/>
          <w:sz w:val="24"/>
          <w:szCs w:val="24"/>
        </w:rPr>
        <w:t>Call-to-Action (CTA) ideas (below)</w:t>
      </w:r>
    </w:p>
    <w:p w14:paraId="5B553E3F"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sz w:val="24"/>
          <w:szCs w:val="24"/>
        </w:rPr>
        <w:t>You can customize any of the posts to match your value prop and audience. Add more curated posts or links back to your site as needed. Change the style and tone to fit your brand if you’d like, or use as is.</w:t>
      </w:r>
    </w:p>
    <w:p w14:paraId="7041D824" w14:textId="77777777" w:rsidR="00917E13" w:rsidRPr="00917E13" w:rsidRDefault="00687003" w:rsidP="00917E13">
      <w:pPr>
        <w:pStyle w:val="ListParagraph"/>
        <w:widowControl/>
        <w:numPr>
          <w:ilvl w:val="0"/>
          <w:numId w:val="19"/>
        </w:numPr>
        <w:spacing w:before="0" w:after="160" w:line="259" w:lineRule="auto"/>
        <w:contextualSpacing/>
        <w:rPr>
          <w:rFonts w:asciiTheme="minorHAnsi" w:hAnsiTheme="minorHAnsi" w:cs="Arial"/>
          <w:sz w:val="24"/>
          <w:szCs w:val="24"/>
        </w:rPr>
      </w:pPr>
      <w:hyperlink w:anchor="cta" w:history="1">
        <w:r w:rsidR="00917E13" w:rsidRPr="00917E13">
          <w:rPr>
            <w:rStyle w:val="Hyperlink"/>
            <w:rFonts w:asciiTheme="minorHAnsi" w:hAnsiTheme="minorHAnsi" w:cs="Arial"/>
            <w:sz w:val="24"/>
            <w:szCs w:val="24"/>
          </w:rPr>
          <w:t>CTAs</w:t>
        </w:r>
      </w:hyperlink>
    </w:p>
    <w:p w14:paraId="290DD471" w14:textId="77777777" w:rsidR="00917E13" w:rsidRPr="00917E13" w:rsidRDefault="00687003" w:rsidP="00917E13">
      <w:pPr>
        <w:pStyle w:val="ListParagraph"/>
        <w:widowControl/>
        <w:numPr>
          <w:ilvl w:val="0"/>
          <w:numId w:val="19"/>
        </w:numPr>
        <w:spacing w:before="0" w:after="160" w:line="259" w:lineRule="auto"/>
        <w:contextualSpacing/>
        <w:rPr>
          <w:rFonts w:asciiTheme="minorHAnsi" w:hAnsiTheme="minorHAnsi" w:cs="Arial"/>
          <w:sz w:val="24"/>
          <w:szCs w:val="24"/>
        </w:rPr>
      </w:pPr>
      <w:hyperlink w:anchor="image" w:history="1">
        <w:r w:rsidR="00917E13" w:rsidRPr="00917E13">
          <w:rPr>
            <w:rStyle w:val="Hyperlink"/>
            <w:rFonts w:asciiTheme="minorHAnsi" w:hAnsiTheme="minorHAnsi" w:cs="Arial"/>
            <w:sz w:val="24"/>
            <w:szCs w:val="24"/>
          </w:rPr>
          <w:t>Images</w:t>
        </w:r>
      </w:hyperlink>
    </w:p>
    <w:tbl>
      <w:tblPr>
        <w:tblStyle w:val="TableGrid"/>
        <w:tblW w:w="9712" w:type="dxa"/>
        <w:jc w:val="center"/>
        <w:tblCellMar>
          <w:left w:w="115" w:type="dxa"/>
          <w:right w:w="115" w:type="dxa"/>
        </w:tblCellMar>
        <w:tblLook w:val="04A0" w:firstRow="1" w:lastRow="0" w:firstColumn="1" w:lastColumn="0" w:noHBand="0" w:noVBand="1"/>
      </w:tblPr>
      <w:tblGrid>
        <w:gridCol w:w="805"/>
        <w:gridCol w:w="614"/>
        <w:gridCol w:w="6361"/>
        <w:gridCol w:w="798"/>
        <w:gridCol w:w="1134"/>
      </w:tblGrid>
      <w:tr w:rsidR="00917E13" w:rsidRPr="00917E13" w14:paraId="1083E7BF" w14:textId="77777777" w:rsidTr="009F2C13">
        <w:trPr>
          <w:jc w:val="center"/>
        </w:trPr>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129BB42B"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1</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7A5B832D"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23C43FF9"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3AD6F937"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642390F0"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437C3ED9"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062EE361" w14:textId="77777777" w:rsidTr="009F2C13">
        <w:trPr>
          <w:jc w:val="center"/>
        </w:trPr>
        <w:tc>
          <w:tcPr>
            <w:tcW w:w="786" w:type="dxa"/>
            <w:vMerge w:val="restart"/>
            <w:tcBorders>
              <w:top w:val="nil"/>
              <w:left w:val="nil"/>
              <w:bottom w:val="nil"/>
              <w:right w:val="single" w:sz="4" w:space="0" w:color="auto"/>
            </w:tcBorders>
            <w:shd w:val="clear" w:color="auto" w:fill="auto"/>
            <w:textDirection w:val="btLr"/>
            <w:vAlign w:val="center"/>
          </w:tcPr>
          <w:p w14:paraId="2F5E46DB" w14:textId="77777777" w:rsidR="00917E13" w:rsidRPr="00917E13" w:rsidRDefault="00917E13" w:rsidP="009F2C13">
            <w:pPr>
              <w:ind w:left="113" w:right="113"/>
              <w:rPr>
                <w:rFonts w:asciiTheme="minorHAnsi" w:hAnsiTheme="minorHAnsi" w:cs="Arial"/>
                <w:color w:val="FFFFFF" w:themeColor="background1"/>
                <w:sz w:val="24"/>
                <w:szCs w:val="24"/>
              </w:rPr>
            </w:pPr>
            <w:r w:rsidRPr="00917E13">
              <w:rPr>
                <w:rFonts w:asciiTheme="minorHAnsi" w:hAnsiTheme="minorHAnsi" w:cs="Arial"/>
                <w:color w:val="FFFFFF" w:themeColor="background1"/>
                <w:sz w:val="24"/>
                <w:szCs w:val="24"/>
              </w:rPr>
              <w:t>This</w:t>
            </w:r>
          </w:p>
        </w:tc>
        <w:tc>
          <w:tcPr>
            <w:tcW w:w="611" w:type="dxa"/>
            <w:tcBorders>
              <w:top w:val="single" w:sz="4" w:space="0" w:color="auto"/>
              <w:left w:val="single" w:sz="4" w:space="0" w:color="auto"/>
              <w:bottom w:val="single" w:sz="4" w:space="0" w:color="auto"/>
              <w:right w:val="single" w:sz="4" w:space="0" w:color="auto"/>
            </w:tcBorders>
            <w:vAlign w:val="center"/>
          </w:tcPr>
          <w:p w14:paraId="4ED10970"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tcBorders>
              <w:top w:val="single" w:sz="4" w:space="0" w:color="auto"/>
              <w:left w:val="single" w:sz="4" w:space="0" w:color="auto"/>
              <w:bottom w:val="single" w:sz="4" w:space="0" w:color="auto"/>
              <w:right w:val="single" w:sz="4" w:space="0" w:color="auto"/>
            </w:tcBorders>
            <w:vAlign w:val="center"/>
          </w:tcPr>
          <w:p w14:paraId="4463EB46"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Disaster recovery is not about what to do if you get a bad haircut. It’s what to do when (not if) your data is in danger from cybercrime, floods, electrical storms or employees who walk away with your source code.</w:t>
            </w:r>
          </w:p>
        </w:tc>
        <w:tc>
          <w:tcPr>
            <w:tcW w:w="798" w:type="dxa"/>
            <w:tcBorders>
              <w:top w:val="single" w:sz="4" w:space="0" w:color="auto"/>
              <w:left w:val="single" w:sz="4" w:space="0" w:color="auto"/>
              <w:bottom w:val="single" w:sz="4" w:space="0" w:color="auto"/>
              <w:right w:val="single" w:sz="4" w:space="0" w:color="auto"/>
            </w:tcBorders>
            <w:vAlign w:val="center"/>
          </w:tcPr>
          <w:p w14:paraId="4845B140" w14:textId="77777777" w:rsidR="00917E13" w:rsidRPr="00917E13" w:rsidRDefault="00917E13" w:rsidP="009F2C13">
            <w:pPr>
              <w:rPr>
                <w:rFonts w:asciiTheme="minorHAnsi" w:hAnsiTheme="minorHAnsi" w:cs="Arial"/>
                <w:sz w:val="24"/>
                <w:szCs w:val="24"/>
              </w:rPr>
            </w:pPr>
          </w:p>
        </w:tc>
        <w:tc>
          <w:tcPr>
            <w:tcW w:w="1102" w:type="dxa"/>
            <w:tcBorders>
              <w:top w:val="single" w:sz="4" w:space="0" w:color="auto"/>
              <w:left w:val="single" w:sz="4" w:space="0" w:color="auto"/>
              <w:bottom w:val="single" w:sz="4" w:space="0" w:color="auto"/>
              <w:right w:val="single" w:sz="4" w:space="0" w:color="auto"/>
            </w:tcBorders>
            <w:vAlign w:val="center"/>
          </w:tcPr>
          <w:p w14:paraId="34ADAF67"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0C5F391C" w14:textId="77777777" w:rsidTr="009F2C13">
        <w:trPr>
          <w:jc w:val="center"/>
        </w:trPr>
        <w:tc>
          <w:tcPr>
            <w:tcW w:w="786" w:type="dxa"/>
            <w:vMerge/>
            <w:tcBorders>
              <w:top w:val="nil"/>
              <w:left w:val="nil"/>
              <w:bottom w:val="nil"/>
              <w:right w:val="single" w:sz="4" w:space="0" w:color="auto"/>
            </w:tcBorders>
            <w:shd w:val="clear" w:color="auto" w:fill="auto"/>
            <w:vAlign w:val="center"/>
          </w:tcPr>
          <w:p w14:paraId="4FD5B55D" w14:textId="77777777" w:rsidR="00917E13" w:rsidRPr="00917E13" w:rsidRDefault="00917E13" w:rsidP="009F2C13">
            <w:pPr>
              <w:rPr>
                <w:rFonts w:asciiTheme="minorHAnsi" w:hAnsiTheme="minorHAnsi" w:cs="Arial"/>
                <w:sz w:val="24"/>
                <w:szCs w:val="24"/>
              </w:rPr>
            </w:pPr>
          </w:p>
        </w:tc>
        <w:tc>
          <w:tcPr>
            <w:tcW w:w="611" w:type="dxa"/>
            <w:tcBorders>
              <w:top w:val="single" w:sz="4" w:space="0" w:color="auto"/>
              <w:left w:val="single" w:sz="4" w:space="0" w:color="auto"/>
              <w:bottom w:val="single" w:sz="4" w:space="0" w:color="auto"/>
              <w:right w:val="single" w:sz="4" w:space="0" w:color="auto"/>
            </w:tcBorders>
            <w:vAlign w:val="center"/>
          </w:tcPr>
          <w:p w14:paraId="549B824E"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tcBorders>
              <w:top w:val="single" w:sz="4" w:space="0" w:color="auto"/>
              <w:left w:val="single" w:sz="4" w:space="0" w:color="auto"/>
              <w:bottom w:val="single" w:sz="4" w:space="0" w:color="auto"/>
              <w:right w:val="single" w:sz="4" w:space="0" w:color="auto"/>
            </w:tcBorders>
            <w:vAlign w:val="center"/>
          </w:tcPr>
          <w:p w14:paraId="6CE2DC26"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Backup is not enough. Make your disaster recovery solution automatic with a tested plan. You’ll sleep easier.</w:t>
            </w:r>
          </w:p>
        </w:tc>
        <w:tc>
          <w:tcPr>
            <w:tcW w:w="798" w:type="dxa"/>
            <w:tcBorders>
              <w:top w:val="single" w:sz="4" w:space="0" w:color="auto"/>
              <w:left w:val="single" w:sz="4" w:space="0" w:color="auto"/>
              <w:bottom w:val="single" w:sz="4" w:space="0" w:color="auto"/>
              <w:right w:val="single" w:sz="4" w:space="0" w:color="auto"/>
            </w:tcBorders>
            <w:vAlign w:val="center"/>
          </w:tcPr>
          <w:p w14:paraId="56249AA2" w14:textId="77777777" w:rsidR="00917E13" w:rsidRPr="00917E13" w:rsidRDefault="00917E13" w:rsidP="009F2C13">
            <w:pPr>
              <w:rPr>
                <w:rFonts w:asciiTheme="minorHAnsi" w:hAnsiTheme="minorHAnsi" w:cs="Arial"/>
                <w:sz w:val="24"/>
                <w:szCs w:val="24"/>
              </w:rPr>
            </w:pPr>
          </w:p>
        </w:tc>
        <w:tc>
          <w:tcPr>
            <w:tcW w:w="1102" w:type="dxa"/>
            <w:tcBorders>
              <w:top w:val="single" w:sz="4" w:space="0" w:color="auto"/>
              <w:left w:val="single" w:sz="4" w:space="0" w:color="auto"/>
              <w:bottom w:val="single" w:sz="4" w:space="0" w:color="auto"/>
              <w:right w:val="single" w:sz="4" w:space="0" w:color="auto"/>
            </w:tcBorders>
            <w:vAlign w:val="center"/>
          </w:tcPr>
          <w:p w14:paraId="554D2A5E"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54CE0E13" w14:textId="77777777" w:rsidTr="009F2C13">
        <w:trPr>
          <w:jc w:val="center"/>
        </w:trPr>
        <w:tc>
          <w:tcPr>
            <w:tcW w:w="786" w:type="dxa"/>
            <w:tcBorders>
              <w:top w:val="nil"/>
              <w:left w:val="nil"/>
              <w:bottom w:val="nil"/>
              <w:right w:val="single" w:sz="4" w:space="0" w:color="auto"/>
            </w:tcBorders>
            <w:shd w:val="clear" w:color="auto" w:fill="auto"/>
            <w:vAlign w:val="center"/>
          </w:tcPr>
          <w:p w14:paraId="3C1E9C4C" w14:textId="77777777" w:rsidR="00917E13" w:rsidRPr="00917E13" w:rsidRDefault="00917E13" w:rsidP="009F2C13">
            <w:pPr>
              <w:rPr>
                <w:rFonts w:asciiTheme="minorHAnsi" w:hAnsiTheme="minorHAnsi" w:cs="Arial"/>
                <w:sz w:val="24"/>
                <w:szCs w:val="24"/>
              </w:rPr>
            </w:pPr>
          </w:p>
        </w:tc>
        <w:tc>
          <w:tcPr>
            <w:tcW w:w="611" w:type="dxa"/>
            <w:tcBorders>
              <w:top w:val="single" w:sz="4" w:space="0" w:color="auto"/>
              <w:left w:val="single" w:sz="4" w:space="0" w:color="auto"/>
              <w:bottom w:val="single" w:sz="4" w:space="0" w:color="auto"/>
              <w:right w:val="single" w:sz="4" w:space="0" w:color="auto"/>
            </w:tcBorders>
            <w:vAlign w:val="center"/>
          </w:tcPr>
          <w:p w14:paraId="7D5EE121"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tcBorders>
              <w:top w:val="single" w:sz="4" w:space="0" w:color="auto"/>
              <w:left w:val="single" w:sz="4" w:space="0" w:color="auto"/>
              <w:bottom w:val="single" w:sz="4" w:space="0" w:color="auto"/>
              <w:right w:val="single" w:sz="4" w:space="0" w:color="auto"/>
            </w:tcBorders>
            <w:vAlign w:val="center"/>
          </w:tcPr>
          <w:p w14:paraId="3BEFA0CE"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Natural disasters are not the only thing to worry about, though they can hit hard. Losses from earthquakes, storms and other natural catastrophes totaled $175 billion in 2016. That was the highest in four years. </w:t>
            </w:r>
          </w:p>
          <w:p w14:paraId="72F8D560" w14:textId="77777777" w:rsidR="00917E13" w:rsidRPr="00917E13" w:rsidRDefault="00917E13" w:rsidP="009F2C13">
            <w:pPr>
              <w:rPr>
                <w:rFonts w:asciiTheme="minorHAnsi" w:hAnsiTheme="minorHAnsi" w:cs="Arial"/>
                <w:sz w:val="24"/>
                <w:szCs w:val="24"/>
              </w:rPr>
            </w:pPr>
          </w:p>
          <w:p w14:paraId="4F1EBC36" w14:textId="77777777" w:rsidR="00917E13" w:rsidRPr="00917E13" w:rsidRDefault="00687003" w:rsidP="009F2C13">
            <w:pPr>
              <w:rPr>
                <w:rFonts w:asciiTheme="minorHAnsi" w:hAnsiTheme="minorHAnsi" w:cs="Arial"/>
                <w:sz w:val="24"/>
                <w:szCs w:val="24"/>
              </w:rPr>
            </w:pPr>
            <w:hyperlink r:id="rId11" w:history="1">
              <w:r w:rsidR="00917E13" w:rsidRPr="00917E13">
                <w:rPr>
                  <w:rStyle w:val="Hyperlink"/>
                  <w:rFonts w:asciiTheme="minorHAnsi" w:hAnsiTheme="minorHAnsi" w:cs="Arial"/>
                  <w:sz w:val="24"/>
                  <w:szCs w:val="24"/>
                </w:rPr>
                <w:t>Read more.</w:t>
              </w:r>
            </w:hyperlink>
            <w:r w:rsidR="00917E13" w:rsidRPr="00917E13">
              <w:rPr>
                <w:rFonts w:asciiTheme="minorHAnsi" w:hAnsiTheme="minorHAnsi" w:cs="Arial"/>
                <w:sz w:val="24"/>
                <w:szCs w:val="24"/>
              </w:rPr>
              <w:t xml:space="preserve"> </w:t>
            </w:r>
          </w:p>
          <w:p w14:paraId="692732AA" w14:textId="77777777" w:rsidR="00917E13" w:rsidRPr="00917E13" w:rsidRDefault="00917E13" w:rsidP="009F2C13">
            <w:pPr>
              <w:rPr>
                <w:rFonts w:asciiTheme="minorHAnsi" w:hAnsiTheme="minorHAnsi" w:cs="Arial"/>
                <w:sz w:val="24"/>
                <w:szCs w:val="24"/>
              </w:rPr>
            </w:pPr>
          </w:p>
          <w:p w14:paraId="1FCF95CD" w14:textId="77777777" w:rsidR="00917E13" w:rsidRPr="00917E13" w:rsidRDefault="00917E13" w:rsidP="009F2C13">
            <w:pPr>
              <w:rPr>
                <w:rFonts w:asciiTheme="minorHAnsi" w:hAnsiTheme="minorHAnsi" w:cs="Arial"/>
                <w:sz w:val="24"/>
                <w:szCs w:val="24"/>
              </w:rPr>
            </w:pPr>
          </w:p>
          <w:p w14:paraId="79B29E7A" w14:textId="77777777" w:rsidR="00917E13" w:rsidRPr="00917E13" w:rsidRDefault="00917E13" w:rsidP="009F2C13">
            <w:pPr>
              <w:rPr>
                <w:rFonts w:asciiTheme="minorHAnsi" w:hAnsiTheme="minorHAnsi" w:cs="Arial"/>
                <w:sz w:val="24"/>
                <w:szCs w:val="24"/>
              </w:rPr>
            </w:pPr>
          </w:p>
          <w:p w14:paraId="5476B9B0" w14:textId="77777777" w:rsidR="00917E13" w:rsidRPr="00917E13" w:rsidRDefault="00917E13" w:rsidP="009F2C13">
            <w:pPr>
              <w:rPr>
                <w:rFonts w:asciiTheme="minorHAnsi" w:hAnsiTheme="minorHAnsi" w:cs="Arial"/>
                <w:sz w:val="24"/>
                <w:szCs w:val="24"/>
              </w:rPr>
            </w:pPr>
          </w:p>
          <w:p w14:paraId="69BE6914" w14:textId="77777777" w:rsidR="00917E13" w:rsidRPr="00917E13" w:rsidRDefault="00917E13" w:rsidP="009F2C13">
            <w:pPr>
              <w:rPr>
                <w:rFonts w:asciiTheme="minorHAnsi" w:hAnsiTheme="minorHAnsi" w:cs="Arial"/>
                <w:sz w:val="24"/>
                <w:szCs w:val="24"/>
              </w:rPr>
            </w:pPr>
          </w:p>
        </w:tc>
        <w:tc>
          <w:tcPr>
            <w:tcW w:w="798" w:type="dxa"/>
            <w:tcBorders>
              <w:top w:val="single" w:sz="4" w:space="0" w:color="auto"/>
              <w:left w:val="single" w:sz="4" w:space="0" w:color="auto"/>
              <w:bottom w:val="single" w:sz="4" w:space="0" w:color="auto"/>
              <w:right w:val="single" w:sz="4" w:space="0" w:color="auto"/>
            </w:tcBorders>
            <w:vAlign w:val="center"/>
          </w:tcPr>
          <w:p w14:paraId="48D223CB" w14:textId="77777777" w:rsidR="00917E13" w:rsidRPr="00917E13" w:rsidRDefault="00917E13" w:rsidP="009F2C13">
            <w:pPr>
              <w:rPr>
                <w:rFonts w:asciiTheme="minorHAnsi" w:hAnsiTheme="minorHAnsi" w:cs="Arial"/>
                <w:sz w:val="24"/>
                <w:szCs w:val="24"/>
              </w:rPr>
            </w:pPr>
          </w:p>
        </w:tc>
        <w:tc>
          <w:tcPr>
            <w:tcW w:w="1102" w:type="dxa"/>
            <w:tcBorders>
              <w:top w:val="single" w:sz="4" w:space="0" w:color="auto"/>
              <w:left w:val="single" w:sz="4" w:space="0" w:color="auto"/>
              <w:bottom w:val="single" w:sz="4" w:space="0" w:color="auto"/>
              <w:right w:val="single" w:sz="4" w:space="0" w:color="auto"/>
            </w:tcBorders>
            <w:vAlign w:val="center"/>
          </w:tcPr>
          <w:p w14:paraId="40B4026E"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r w:rsidR="00917E13" w:rsidRPr="00917E13" w14:paraId="735D31EE" w14:textId="77777777" w:rsidTr="009F2C13">
        <w:trPr>
          <w:jc w:val="center"/>
        </w:trPr>
        <w:tc>
          <w:tcPr>
            <w:tcW w:w="786"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7FFEE01E"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2</w:t>
            </w:r>
          </w:p>
        </w:tc>
        <w:tc>
          <w:tcPr>
            <w:tcW w:w="61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FE8CA58"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A77E17"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9D1664"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5970D298"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4BEA02"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5FF97915" w14:textId="77777777" w:rsidTr="009F2C13">
        <w:trPr>
          <w:jc w:val="center"/>
        </w:trPr>
        <w:tc>
          <w:tcPr>
            <w:tcW w:w="786" w:type="dxa"/>
            <w:tcBorders>
              <w:top w:val="single" w:sz="4" w:space="0" w:color="auto"/>
              <w:left w:val="nil"/>
              <w:bottom w:val="nil"/>
              <w:right w:val="single" w:sz="4" w:space="0" w:color="auto"/>
            </w:tcBorders>
            <w:vAlign w:val="center"/>
          </w:tcPr>
          <w:p w14:paraId="5951642E" w14:textId="77777777" w:rsidR="00917E13" w:rsidRPr="00917E13" w:rsidRDefault="00917E13" w:rsidP="009F2C13">
            <w:pPr>
              <w:rPr>
                <w:rFonts w:asciiTheme="minorHAnsi" w:hAnsiTheme="minorHAnsi" w:cs="Arial"/>
                <w:sz w:val="24"/>
                <w:szCs w:val="24"/>
              </w:rPr>
            </w:pPr>
          </w:p>
        </w:tc>
        <w:tc>
          <w:tcPr>
            <w:tcW w:w="611" w:type="dxa"/>
            <w:tcBorders>
              <w:top w:val="single" w:sz="4" w:space="0" w:color="auto"/>
              <w:left w:val="single" w:sz="4" w:space="0" w:color="auto"/>
            </w:tcBorders>
            <w:vAlign w:val="center"/>
          </w:tcPr>
          <w:p w14:paraId="227D2822"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tcBorders>
              <w:top w:val="single" w:sz="4" w:space="0" w:color="auto"/>
            </w:tcBorders>
            <w:vAlign w:val="center"/>
          </w:tcPr>
          <w:p w14:paraId="367957A6"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Imagine your site has an outage at your primary datacenter. And your secondary site has the same problem. Once you’ve stopped screaming, contact us. We can help.</w:t>
            </w:r>
          </w:p>
        </w:tc>
        <w:tc>
          <w:tcPr>
            <w:tcW w:w="798" w:type="dxa"/>
            <w:tcBorders>
              <w:top w:val="single" w:sz="4" w:space="0" w:color="auto"/>
            </w:tcBorders>
            <w:vAlign w:val="center"/>
          </w:tcPr>
          <w:p w14:paraId="68245717" w14:textId="77777777" w:rsidR="00917E13" w:rsidRPr="00917E13" w:rsidRDefault="00917E13" w:rsidP="009F2C13">
            <w:pPr>
              <w:jc w:val="center"/>
              <w:rPr>
                <w:rFonts w:asciiTheme="minorHAnsi" w:hAnsiTheme="minorHAnsi" w:cs="Arial"/>
                <w:sz w:val="24"/>
                <w:szCs w:val="24"/>
              </w:rPr>
            </w:pPr>
          </w:p>
        </w:tc>
        <w:tc>
          <w:tcPr>
            <w:tcW w:w="1102" w:type="dxa"/>
            <w:tcBorders>
              <w:top w:val="single" w:sz="4" w:space="0" w:color="auto"/>
            </w:tcBorders>
            <w:vAlign w:val="center"/>
          </w:tcPr>
          <w:p w14:paraId="552DFAC0"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42405DA8" w14:textId="77777777" w:rsidTr="009F2C13">
        <w:trPr>
          <w:jc w:val="center"/>
        </w:trPr>
        <w:tc>
          <w:tcPr>
            <w:tcW w:w="786" w:type="dxa"/>
            <w:tcBorders>
              <w:top w:val="single" w:sz="4" w:space="0" w:color="auto"/>
              <w:left w:val="nil"/>
              <w:bottom w:val="nil"/>
              <w:right w:val="single" w:sz="4" w:space="0" w:color="auto"/>
            </w:tcBorders>
            <w:vAlign w:val="center"/>
          </w:tcPr>
          <w:p w14:paraId="00A6F299" w14:textId="77777777" w:rsidR="00917E13" w:rsidRPr="00917E13" w:rsidRDefault="00917E13" w:rsidP="009F2C13">
            <w:pPr>
              <w:rPr>
                <w:rFonts w:asciiTheme="minorHAnsi" w:hAnsiTheme="minorHAnsi" w:cs="Arial"/>
                <w:sz w:val="24"/>
                <w:szCs w:val="24"/>
              </w:rPr>
            </w:pPr>
          </w:p>
        </w:tc>
        <w:tc>
          <w:tcPr>
            <w:tcW w:w="611" w:type="dxa"/>
            <w:tcBorders>
              <w:top w:val="single" w:sz="4" w:space="0" w:color="auto"/>
              <w:left w:val="single" w:sz="4" w:space="0" w:color="auto"/>
            </w:tcBorders>
            <w:vAlign w:val="center"/>
          </w:tcPr>
          <w:p w14:paraId="1FB59480"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tcBorders>
              <w:top w:val="single" w:sz="4" w:space="0" w:color="auto"/>
            </w:tcBorders>
            <w:vAlign w:val="center"/>
          </w:tcPr>
          <w:p w14:paraId="140EBFD5"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color w:val="222222"/>
                <w:sz w:val="24"/>
                <w:szCs w:val="24"/>
              </w:rPr>
              <w:t>How easy is site recovery? A single click recovers an entire application with Azure Automation runbooks.</w:t>
            </w:r>
            <w:r w:rsidRPr="00917E13">
              <w:rPr>
                <w:rFonts w:asciiTheme="minorHAnsi" w:hAnsiTheme="minorHAnsi" w:cs="Arial"/>
                <w:sz w:val="24"/>
                <w:szCs w:val="24"/>
              </w:rPr>
              <w:t xml:space="preserve"> Ask us how it works.</w:t>
            </w:r>
          </w:p>
        </w:tc>
        <w:tc>
          <w:tcPr>
            <w:tcW w:w="798" w:type="dxa"/>
            <w:tcBorders>
              <w:top w:val="single" w:sz="4" w:space="0" w:color="auto"/>
            </w:tcBorders>
            <w:vAlign w:val="center"/>
          </w:tcPr>
          <w:p w14:paraId="14E1F861" w14:textId="77777777" w:rsidR="00917E13" w:rsidRPr="00917E13" w:rsidRDefault="00917E13" w:rsidP="009F2C13">
            <w:pPr>
              <w:jc w:val="center"/>
              <w:rPr>
                <w:rFonts w:asciiTheme="minorHAnsi" w:hAnsiTheme="minorHAnsi" w:cs="Arial"/>
                <w:sz w:val="24"/>
                <w:szCs w:val="24"/>
              </w:rPr>
            </w:pPr>
          </w:p>
        </w:tc>
        <w:tc>
          <w:tcPr>
            <w:tcW w:w="1102" w:type="dxa"/>
            <w:tcBorders>
              <w:top w:val="single" w:sz="4" w:space="0" w:color="auto"/>
            </w:tcBorders>
            <w:vAlign w:val="center"/>
          </w:tcPr>
          <w:p w14:paraId="3C026097"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25C3A4A4" w14:textId="77777777" w:rsidTr="009F2C13">
        <w:trPr>
          <w:jc w:val="center"/>
        </w:trPr>
        <w:tc>
          <w:tcPr>
            <w:tcW w:w="786" w:type="dxa"/>
            <w:tcBorders>
              <w:top w:val="single" w:sz="4" w:space="0" w:color="auto"/>
              <w:left w:val="nil"/>
              <w:bottom w:val="nil"/>
              <w:right w:val="single" w:sz="4" w:space="0" w:color="auto"/>
            </w:tcBorders>
            <w:vAlign w:val="center"/>
          </w:tcPr>
          <w:p w14:paraId="3A55BB44" w14:textId="77777777" w:rsidR="00917E13" w:rsidRPr="00917E13" w:rsidRDefault="00917E13" w:rsidP="009F2C13">
            <w:pPr>
              <w:rPr>
                <w:rFonts w:asciiTheme="minorHAnsi" w:hAnsiTheme="minorHAnsi" w:cs="Arial"/>
                <w:sz w:val="24"/>
                <w:szCs w:val="24"/>
              </w:rPr>
            </w:pPr>
          </w:p>
        </w:tc>
        <w:tc>
          <w:tcPr>
            <w:tcW w:w="611" w:type="dxa"/>
            <w:tcBorders>
              <w:top w:val="single" w:sz="4" w:space="0" w:color="auto"/>
              <w:left w:val="single" w:sz="4" w:space="0" w:color="auto"/>
            </w:tcBorders>
            <w:vAlign w:val="center"/>
          </w:tcPr>
          <w:p w14:paraId="05FDF341"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tcBorders>
              <w:top w:val="single" w:sz="4" w:space="0" w:color="auto"/>
            </w:tcBorders>
            <w:vAlign w:val="center"/>
          </w:tcPr>
          <w:p w14:paraId="7A69A607"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We focus on how to solve your technology plans for Disaster Recovery. But we just read this article that focuses on some legal issues you could have if you don’t have a good plan. Worth a read!</w:t>
            </w:r>
          </w:p>
          <w:p w14:paraId="42135B32" w14:textId="77777777" w:rsidR="00917E13" w:rsidRPr="00917E13" w:rsidRDefault="00917E13" w:rsidP="009F2C13">
            <w:pPr>
              <w:rPr>
                <w:rFonts w:asciiTheme="minorHAnsi" w:hAnsiTheme="minorHAnsi" w:cs="Arial"/>
                <w:sz w:val="24"/>
                <w:szCs w:val="24"/>
              </w:rPr>
            </w:pPr>
          </w:p>
          <w:p w14:paraId="7B9E625B" w14:textId="77777777" w:rsidR="00917E13" w:rsidRPr="00917E13" w:rsidRDefault="00687003" w:rsidP="009F2C13">
            <w:pPr>
              <w:rPr>
                <w:rFonts w:asciiTheme="minorHAnsi" w:hAnsiTheme="minorHAnsi" w:cs="Arial"/>
                <w:sz w:val="24"/>
                <w:szCs w:val="24"/>
              </w:rPr>
            </w:pPr>
            <w:hyperlink r:id="rId12" w:history="1">
              <w:r w:rsidR="00917E13" w:rsidRPr="00917E13">
                <w:rPr>
                  <w:rStyle w:val="Hyperlink"/>
                  <w:rFonts w:asciiTheme="minorHAnsi" w:hAnsiTheme="minorHAnsi" w:cs="Arial"/>
                  <w:sz w:val="24"/>
                  <w:szCs w:val="24"/>
                </w:rPr>
                <w:t>Read more here</w:t>
              </w:r>
            </w:hyperlink>
            <w:r w:rsidR="00917E13" w:rsidRPr="00917E13">
              <w:rPr>
                <w:rFonts w:asciiTheme="minorHAnsi" w:hAnsiTheme="minorHAnsi" w:cs="Arial"/>
                <w:sz w:val="24"/>
                <w:szCs w:val="24"/>
              </w:rPr>
              <w:t>:</w:t>
            </w:r>
          </w:p>
          <w:p w14:paraId="06302B0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(Create a shorter link for this)</w:t>
            </w:r>
          </w:p>
        </w:tc>
        <w:tc>
          <w:tcPr>
            <w:tcW w:w="798" w:type="dxa"/>
            <w:tcBorders>
              <w:top w:val="single" w:sz="4" w:space="0" w:color="auto"/>
            </w:tcBorders>
            <w:vAlign w:val="center"/>
          </w:tcPr>
          <w:p w14:paraId="00F08471" w14:textId="77777777" w:rsidR="00917E13" w:rsidRPr="00917E13" w:rsidRDefault="00917E13" w:rsidP="009F2C13">
            <w:pPr>
              <w:jc w:val="center"/>
              <w:rPr>
                <w:rFonts w:asciiTheme="minorHAnsi" w:hAnsiTheme="minorHAnsi" w:cs="Arial"/>
                <w:sz w:val="24"/>
                <w:szCs w:val="24"/>
              </w:rPr>
            </w:pPr>
          </w:p>
        </w:tc>
        <w:tc>
          <w:tcPr>
            <w:tcW w:w="1102" w:type="dxa"/>
            <w:tcBorders>
              <w:top w:val="single" w:sz="4" w:space="0" w:color="auto"/>
            </w:tcBorders>
            <w:vAlign w:val="center"/>
          </w:tcPr>
          <w:p w14:paraId="26159A0D"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r w:rsidR="00917E13" w:rsidRPr="00917E13" w14:paraId="7E259541" w14:textId="77777777" w:rsidTr="009F2C13">
        <w:trPr>
          <w:jc w:val="center"/>
        </w:trPr>
        <w:tc>
          <w:tcPr>
            <w:tcW w:w="786" w:type="dxa"/>
            <w:tcBorders>
              <w:top w:val="nil"/>
              <w:bottom w:val="nil"/>
            </w:tcBorders>
            <w:shd w:val="clear" w:color="auto" w:fill="808080" w:themeFill="background1" w:themeFillShade="80"/>
            <w:vAlign w:val="center"/>
          </w:tcPr>
          <w:p w14:paraId="5D8FE43B"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3</w:t>
            </w:r>
          </w:p>
        </w:tc>
        <w:tc>
          <w:tcPr>
            <w:tcW w:w="611" w:type="dxa"/>
            <w:shd w:val="clear" w:color="auto" w:fill="808080" w:themeFill="background1" w:themeFillShade="80"/>
            <w:vAlign w:val="center"/>
          </w:tcPr>
          <w:p w14:paraId="743399EA"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shd w:val="clear" w:color="auto" w:fill="808080" w:themeFill="background1" w:themeFillShade="80"/>
            <w:vAlign w:val="center"/>
          </w:tcPr>
          <w:p w14:paraId="7AA48C82"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shd w:val="clear" w:color="auto" w:fill="808080" w:themeFill="background1" w:themeFillShade="80"/>
            <w:vAlign w:val="center"/>
          </w:tcPr>
          <w:p w14:paraId="15AF43A7"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7FC30AD9"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shd w:val="clear" w:color="auto" w:fill="808080" w:themeFill="background1" w:themeFillShade="80"/>
            <w:vAlign w:val="center"/>
          </w:tcPr>
          <w:p w14:paraId="788414F9"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5432F4B1" w14:textId="77777777" w:rsidTr="009F2C13">
        <w:trPr>
          <w:jc w:val="center"/>
        </w:trPr>
        <w:tc>
          <w:tcPr>
            <w:tcW w:w="786" w:type="dxa"/>
            <w:tcBorders>
              <w:top w:val="nil"/>
              <w:bottom w:val="nil"/>
            </w:tcBorders>
            <w:vAlign w:val="center"/>
          </w:tcPr>
          <w:p w14:paraId="02DBE81C" w14:textId="77777777" w:rsidR="00917E13" w:rsidRPr="00917E13" w:rsidRDefault="00917E13" w:rsidP="009F2C13">
            <w:pPr>
              <w:rPr>
                <w:rFonts w:asciiTheme="minorHAnsi" w:hAnsiTheme="minorHAnsi" w:cs="Arial"/>
                <w:sz w:val="24"/>
                <w:szCs w:val="24"/>
              </w:rPr>
            </w:pPr>
          </w:p>
        </w:tc>
        <w:tc>
          <w:tcPr>
            <w:tcW w:w="611" w:type="dxa"/>
            <w:vAlign w:val="center"/>
          </w:tcPr>
          <w:p w14:paraId="496439A3"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vAlign w:val="center"/>
          </w:tcPr>
          <w:p w14:paraId="2503F64A"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Data loss from hacking or hardware failure can be significant. You need a disaster recovery plan to backup and restore data. But you also have a budget to think about. Learn how to balance cost and complexity.</w:t>
            </w:r>
          </w:p>
        </w:tc>
        <w:tc>
          <w:tcPr>
            <w:tcW w:w="798" w:type="dxa"/>
            <w:vAlign w:val="center"/>
          </w:tcPr>
          <w:p w14:paraId="240C37B9" w14:textId="77777777" w:rsidR="00917E13" w:rsidRPr="00917E13" w:rsidRDefault="00917E13" w:rsidP="009F2C13">
            <w:pPr>
              <w:rPr>
                <w:rFonts w:asciiTheme="minorHAnsi" w:hAnsiTheme="minorHAnsi" w:cs="Arial"/>
                <w:sz w:val="24"/>
                <w:szCs w:val="24"/>
              </w:rPr>
            </w:pPr>
          </w:p>
        </w:tc>
        <w:tc>
          <w:tcPr>
            <w:tcW w:w="1102" w:type="dxa"/>
            <w:vAlign w:val="center"/>
          </w:tcPr>
          <w:p w14:paraId="03C26896"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0A238A95" w14:textId="77777777" w:rsidTr="009F2C13">
        <w:trPr>
          <w:jc w:val="center"/>
        </w:trPr>
        <w:tc>
          <w:tcPr>
            <w:tcW w:w="786" w:type="dxa"/>
            <w:tcBorders>
              <w:top w:val="nil"/>
              <w:left w:val="nil"/>
              <w:bottom w:val="nil"/>
              <w:right w:val="nil"/>
            </w:tcBorders>
            <w:vAlign w:val="center"/>
          </w:tcPr>
          <w:p w14:paraId="41E21EF7" w14:textId="77777777" w:rsidR="00917E13" w:rsidRPr="00917E13" w:rsidRDefault="00917E13" w:rsidP="009F2C13">
            <w:pPr>
              <w:rPr>
                <w:rFonts w:asciiTheme="minorHAnsi" w:hAnsiTheme="minorHAnsi" w:cs="Arial"/>
                <w:sz w:val="24"/>
                <w:szCs w:val="24"/>
              </w:rPr>
            </w:pPr>
          </w:p>
        </w:tc>
        <w:tc>
          <w:tcPr>
            <w:tcW w:w="611" w:type="dxa"/>
            <w:tcBorders>
              <w:left w:val="nil"/>
            </w:tcBorders>
            <w:vAlign w:val="center"/>
          </w:tcPr>
          <w:p w14:paraId="1ACABC74"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vAlign w:val="center"/>
          </w:tcPr>
          <w:p w14:paraId="6EAC75F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Are you delaying your need for a backup and disaster recovery plan due to your budget? There are cost-effective ways to get started and avoid losing your business data during a minor or major disaster.</w:t>
            </w:r>
          </w:p>
        </w:tc>
        <w:tc>
          <w:tcPr>
            <w:tcW w:w="798" w:type="dxa"/>
            <w:vAlign w:val="center"/>
          </w:tcPr>
          <w:p w14:paraId="693798E4" w14:textId="77777777" w:rsidR="00917E13" w:rsidRPr="00917E13" w:rsidRDefault="00917E13" w:rsidP="009F2C13">
            <w:pPr>
              <w:rPr>
                <w:rFonts w:asciiTheme="minorHAnsi" w:hAnsiTheme="minorHAnsi" w:cs="Arial"/>
                <w:sz w:val="24"/>
                <w:szCs w:val="24"/>
              </w:rPr>
            </w:pPr>
          </w:p>
        </w:tc>
        <w:tc>
          <w:tcPr>
            <w:tcW w:w="1102" w:type="dxa"/>
            <w:vAlign w:val="center"/>
          </w:tcPr>
          <w:p w14:paraId="14F15A57"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6362DB24" w14:textId="77777777" w:rsidTr="009F2C13">
        <w:trPr>
          <w:trHeight w:val="557"/>
          <w:jc w:val="center"/>
        </w:trPr>
        <w:tc>
          <w:tcPr>
            <w:tcW w:w="786" w:type="dxa"/>
            <w:tcBorders>
              <w:top w:val="nil"/>
              <w:left w:val="nil"/>
              <w:bottom w:val="nil"/>
              <w:right w:val="nil"/>
            </w:tcBorders>
            <w:vAlign w:val="center"/>
          </w:tcPr>
          <w:p w14:paraId="10883AD7" w14:textId="77777777" w:rsidR="00917E13" w:rsidRPr="00917E13" w:rsidRDefault="00917E13" w:rsidP="009F2C13">
            <w:pPr>
              <w:rPr>
                <w:rFonts w:asciiTheme="minorHAnsi" w:hAnsiTheme="minorHAnsi" w:cs="Arial"/>
                <w:sz w:val="24"/>
                <w:szCs w:val="24"/>
              </w:rPr>
            </w:pPr>
          </w:p>
        </w:tc>
        <w:tc>
          <w:tcPr>
            <w:tcW w:w="611" w:type="dxa"/>
            <w:tcBorders>
              <w:left w:val="nil"/>
            </w:tcBorders>
            <w:vAlign w:val="center"/>
          </w:tcPr>
          <w:p w14:paraId="5546133C"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vAlign w:val="center"/>
          </w:tcPr>
          <w:p w14:paraId="7C5CC96C" w14:textId="77777777" w:rsidR="00917E13" w:rsidRPr="00917E13" w:rsidRDefault="00917E13" w:rsidP="009F2C13">
            <w:pPr>
              <w:rPr>
                <w:rFonts w:asciiTheme="minorHAnsi" w:hAnsiTheme="minorHAnsi" w:cs="Arial"/>
                <w:color w:val="000000" w:themeColor="text1"/>
                <w:sz w:val="24"/>
                <w:szCs w:val="24"/>
              </w:rPr>
            </w:pPr>
            <w:r w:rsidRPr="00917E13">
              <w:rPr>
                <w:rFonts w:asciiTheme="minorHAnsi" w:hAnsiTheme="minorHAnsi" w:cs="Arial"/>
                <w:color w:val="000000" w:themeColor="text1"/>
                <w:sz w:val="24"/>
                <w:szCs w:val="24"/>
              </w:rPr>
              <w:t xml:space="preserve">Do you think that small businesses don’t need a disaster recovery and backup plan? Here are 5 reasons you might want to rethink that decision. </w:t>
            </w:r>
          </w:p>
          <w:p w14:paraId="0EA83244" w14:textId="77777777" w:rsidR="00917E13" w:rsidRPr="00917E13" w:rsidRDefault="00917E13" w:rsidP="009F2C13">
            <w:pPr>
              <w:rPr>
                <w:rFonts w:asciiTheme="minorHAnsi" w:hAnsiTheme="minorHAnsi" w:cs="Arial"/>
                <w:color w:val="000000" w:themeColor="text1"/>
                <w:sz w:val="24"/>
                <w:szCs w:val="24"/>
              </w:rPr>
            </w:pPr>
          </w:p>
          <w:p w14:paraId="659D2242" w14:textId="77777777" w:rsidR="00917E13" w:rsidRPr="00917E13" w:rsidRDefault="00917E13" w:rsidP="009F2C13">
            <w:pPr>
              <w:rPr>
                <w:rFonts w:asciiTheme="minorHAnsi" w:hAnsiTheme="minorHAnsi" w:cs="Arial"/>
                <w:color w:val="000000" w:themeColor="text1"/>
                <w:sz w:val="24"/>
                <w:szCs w:val="24"/>
              </w:rPr>
            </w:pPr>
            <w:r w:rsidRPr="00917E13">
              <w:rPr>
                <w:rFonts w:asciiTheme="minorHAnsi" w:hAnsiTheme="minorHAnsi" w:cs="Arial"/>
                <w:color w:val="000000" w:themeColor="text1"/>
                <w:sz w:val="24"/>
                <w:szCs w:val="24"/>
              </w:rPr>
              <w:t xml:space="preserve">Entrepreneur shares why a small business </w:t>
            </w:r>
            <w:hyperlink r:id="rId13" w:history="1">
              <w:r w:rsidRPr="00917E13">
                <w:rPr>
                  <w:rStyle w:val="Hyperlink"/>
                  <w:rFonts w:asciiTheme="minorHAnsi" w:hAnsiTheme="minorHAnsi" w:cs="Arial"/>
                  <w:sz w:val="24"/>
                  <w:szCs w:val="24"/>
                </w:rPr>
                <w:t>needs a plan here.</w:t>
              </w:r>
            </w:hyperlink>
          </w:p>
          <w:p w14:paraId="583829B9" w14:textId="77777777" w:rsidR="00917E13" w:rsidRPr="00917E13" w:rsidRDefault="00917E13" w:rsidP="009F2C13">
            <w:pPr>
              <w:rPr>
                <w:rFonts w:asciiTheme="minorHAnsi" w:hAnsiTheme="minorHAnsi" w:cs="Arial"/>
                <w:color w:val="0070C0"/>
                <w:sz w:val="24"/>
                <w:szCs w:val="24"/>
              </w:rPr>
            </w:pPr>
          </w:p>
        </w:tc>
        <w:tc>
          <w:tcPr>
            <w:tcW w:w="798" w:type="dxa"/>
            <w:vAlign w:val="center"/>
          </w:tcPr>
          <w:p w14:paraId="7DA57FAF" w14:textId="77777777" w:rsidR="00917E13" w:rsidRPr="00917E13" w:rsidRDefault="00917E13" w:rsidP="009F2C13">
            <w:pPr>
              <w:rPr>
                <w:rFonts w:asciiTheme="minorHAnsi" w:hAnsiTheme="minorHAnsi" w:cs="Arial"/>
                <w:sz w:val="24"/>
                <w:szCs w:val="24"/>
              </w:rPr>
            </w:pPr>
          </w:p>
        </w:tc>
        <w:tc>
          <w:tcPr>
            <w:tcW w:w="1102" w:type="dxa"/>
            <w:vAlign w:val="center"/>
          </w:tcPr>
          <w:p w14:paraId="512068D7"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r w:rsidR="00917E13" w:rsidRPr="00917E13" w14:paraId="6E488B06" w14:textId="77777777" w:rsidTr="009F2C13">
        <w:trPr>
          <w:jc w:val="center"/>
        </w:trPr>
        <w:tc>
          <w:tcPr>
            <w:tcW w:w="786" w:type="dxa"/>
            <w:tcBorders>
              <w:top w:val="nil"/>
              <w:left w:val="nil"/>
              <w:bottom w:val="nil"/>
              <w:right w:val="nil"/>
            </w:tcBorders>
            <w:shd w:val="clear" w:color="auto" w:fill="808080" w:themeFill="background1" w:themeFillShade="80"/>
            <w:vAlign w:val="center"/>
          </w:tcPr>
          <w:p w14:paraId="627DE884"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4</w:t>
            </w:r>
          </w:p>
        </w:tc>
        <w:tc>
          <w:tcPr>
            <w:tcW w:w="611" w:type="dxa"/>
            <w:tcBorders>
              <w:left w:val="nil"/>
            </w:tcBorders>
            <w:shd w:val="clear" w:color="auto" w:fill="808080" w:themeFill="background1" w:themeFillShade="80"/>
            <w:vAlign w:val="center"/>
          </w:tcPr>
          <w:p w14:paraId="134DF423"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shd w:val="clear" w:color="auto" w:fill="808080" w:themeFill="background1" w:themeFillShade="80"/>
            <w:vAlign w:val="center"/>
          </w:tcPr>
          <w:p w14:paraId="309B9092"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shd w:val="clear" w:color="auto" w:fill="808080" w:themeFill="background1" w:themeFillShade="80"/>
            <w:vAlign w:val="center"/>
          </w:tcPr>
          <w:p w14:paraId="5B06112C"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12CDA08D"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shd w:val="clear" w:color="auto" w:fill="808080" w:themeFill="background1" w:themeFillShade="80"/>
            <w:vAlign w:val="center"/>
          </w:tcPr>
          <w:p w14:paraId="7594F359"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3DFE7C0C" w14:textId="77777777" w:rsidTr="009F2C13">
        <w:trPr>
          <w:jc w:val="center"/>
        </w:trPr>
        <w:tc>
          <w:tcPr>
            <w:tcW w:w="786" w:type="dxa"/>
            <w:tcBorders>
              <w:top w:val="nil"/>
              <w:left w:val="nil"/>
              <w:bottom w:val="nil"/>
              <w:right w:val="nil"/>
            </w:tcBorders>
            <w:vAlign w:val="center"/>
          </w:tcPr>
          <w:p w14:paraId="700A6262" w14:textId="77777777" w:rsidR="00917E13" w:rsidRPr="00917E13" w:rsidRDefault="00917E13" w:rsidP="009F2C13">
            <w:pPr>
              <w:rPr>
                <w:rFonts w:asciiTheme="minorHAnsi" w:hAnsiTheme="minorHAnsi" w:cs="Arial"/>
                <w:sz w:val="24"/>
                <w:szCs w:val="24"/>
              </w:rPr>
            </w:pPr>
          </w:p>
        </w:tc>
        <w:tc>
          <w:tcPr>
            <w:tcW w:w="611" w:type="dxa"/>
            <w:tcBorders>
              <w:left w:val="nil"/>
            </w:tcBorders>
            <w:vAlign w:val="center"/>
          </w:tcPr>
          <w:p w14:paraId="596D3785"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vAlign w:val="center"/>
          </w:tcPr>
          <w:p w14:paraId="4DF7D523" w14:textId="77777777" w:rsidR="00917E13" w:rsidRPr="00917E13" w:rsidRDefault="00917E13" w:rsidP="009F2C13">
            <w:pPr>
              <w:rPr>
                <w:rFonts w:asciiTheme="minorHAnsi" w:hAnsiTheme="minorHAnsi" w:cs="Arial"/>
                <w:color w:val="0070C0"/>
                <w:sz w:val="24"/>
                <w:szCs w:val="24"/>
              </w:rPr>
            </w:pPr>
            <w:r w:rsidRPr="00917E13">
              <w:rPr>
                <w:rFonts w:asciiTheme="minorHAnsi" w:hAnsiTheme="minorHAnsi" w:cs="Arial"/>
                <w:color w:val="222222"/>
                <w:sz w:val="24"/>
                <w:szCs w:val="24"/>
              </w:rPr>
              <w:t>Azure Site Recovery allows you to replicate workloads, avoiding the need for a secondary site. Reduce your costs and complexity.</w:t>
            </w:r>
            <w:r w:rsidRPr="00917E13">
              <w:rPr>
                <w:rFonts w:asciiTheme="minorHAnsi" w:hAnsiTheme="minorHAnsi" w:cs="Arial"/>
                <w:color w:val="0070C0"/>
                <w:sz w:val="24"/>
                <w:szCs w:val="24"/>
              </w:rPr>
              <w:t xml:space="preserve"> </w:t>
            </w:r>
          </w:p>
        </w:tc>
        <w:tc>
          <w:tcPr>
            <w:tcW w:w="798" w:type="dxa"/>
            <w:vAlign w:val="center"/>
          </w:tcPr>
          <w:p w14:paraId="37B8882A" w14:textId="77777777" w:rsidR="00917E13" w:rsidRPr="00917E13" w:rsidRDefault="00917E13" w:rsidP="009F2C13">
            <w:pPr>
              <w:rPr>
                <w:rFonts w:asciiTheme="minorHAnsi" w:hAnsiTheme="minorHAnsi" w:cs="Arial"/>
                <w:sz w:val="24"/>
                <w:szCs w:val="24"/>
              </w:rPr>
            </w:pPr>
          </w:p>
        </w:tc>
        <w:tc>
          <w:tcPr>
            <w:tcW w:w="1102" w:type="dxa"/>
            <w:vAlign w:val="center"/>
          </w:tcPr>
          <w:p w14:paraId="3D4C950A"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22C0114F" w14:textId="77777777" w:rsidTr="009F2C13">
        <w:trPr>
          <w:jc w:val="center"/>
        </w:trPr>
        <w:tc>
          <w:tcPr>
            <w:tcW w:w="786" w:type="dxa"/>
            <w:tcBorders>
              <w:top w:val="nil"/>
              <w:left w:val="nil"/>
              <w:bottom w:val="nil"/>
              <w:right w:val="nil"/>
            </w:tcBorders>
            <w:vAlign w:val="center"/>
          </w:tcPr>
          <w:p w14:paraId="66E9A2E9" w14:textId="77777777" w:rsidR="00917E13" w:rsidRPr="00917E13" w:rsidRDefault="00917E13" w:rsidP="009F2C13">
            <w:pPr>
              <w:rPr>
                <w:rFonts w:asciiTheme="minorHAnsi" w:hAnsiTheme="minorHAnsi" w:cs="Arial"/>
                <w:sz w:val="24"/>
                <w:szCs w:val="24"/>
              </w:rPr>
            </w:pPr>
          </w:p>
        </w:tc>
        <w:tc>
          <w:tcPr>
            <w:tcW w:w="611" w:type="dxa"/>
            <w:tcBorders>
              <w:left w:val="nil"/>
            </w:tcBorders>
            <w:vAlign w:val="center"/>
          </w:tcPr>
          <w:p w14:paraId="2C1BBA95"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vAlign w:val="center"/>
          </w:tcPr>
          <w:p w14:paraId="3ED1BC39"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color w:val="000000" w:themeColor="text1"/>
                <w:sz w:val="24"/>
                <w:szCs w:val="24"/>
              </w:rPr>
              <w:t>Even an hour of data downtime can cost you thousands. Learn how to protect your business now.</w:t>
            </w:r>
          </w:p>
        </w:tc>
        <w:tc>
          <w:tcPr>
            <w:tcW w:w="798" w:type="dxa"/>
            <w:vAlign w:val="center"/>
          </w:tcPr>
          <w:p w14:paraId="0F2EA53C" w14:textId="77777777" w:rsidR="00917E13" w:rsidRPr="00917E13" w:rsidRDefault="00917E13" w:rsidP="009F2C13">
            <w:pPr>
              <w:rPr>
                <w:rFonts w:asciiTheme="minorHAnsi" w:hAnsiTheme="minorHAnsi" w:cs="Arial"/>
                <w:sz w:val="24"/>
                <w:szCs w:val="24"/>
              </w:rPr>
            </w:pPr>
          </w:p>
        </w:tc>
        <w:tc>
          <w:tcPr>
            <w:tcW w:w="1102" w:type="dxa"/>
            <w:vAlign w:val="center"/>
          </w:tcPr>
          <w:p w14:paraId="0B85B010"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7346A384" w14:textId="77777777" w:rsidTr="009F2C13">
        <w:trPr>
          <w:jc w:val="center"/>
        </w:trPr>
        <w:tc>
          <w:tcPr>
            <w:tcW w:w="786" w:type="dxa"/>
            <w:tcBorders>
              <w:top w:val="nil"/>
              <w:left w:val="nil"/>
              <w:bottom w:val="nil"/>
              <w:right w:val="nil"/>
            </w:tcBorders>
            <w:vAlign w:val="center"/>
          </w:tcPr>
          <w:p w14:paraId="3D64BFB8" w14:textId="77777777" w:rsidR="00917E13" w:rsidRPr="00917E13" w:rsidRDefault="00917E13" w:rsidP="009F2C13">
            <w:pPr>
              <w:rPr>
                <w:rFonts w:asciiTheme="minorHAnsi" w:hAnsiTheme="minorHAnsi" w:cs="Arial"/>
                <w:sz w:val="24"/>
                <w:szCs w:val="24"/>
              </w:rPr>
            </w:pPr>
          </w:p>
        </w:tc>
        <w:tc>
          <w:tcPr>
            <w:tcW w:w="611" w:type="dxa"/>
            <w:tcBorders>
              <w:left w:val="nil"/>
            </w:tcBorders>
            <w:vAlign w:val="center"/>
          </w:tcPr>
          <w:p w14:paraId="5D1BBC46"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vAlign w:val="center"/>
          </w:tcPr>
          <w:p w14:paraId="0C12BFBF" w14:textId="77777777" w:rsidR="00917E13" w:rsidRPr="00917E13" w:rsidRDefault="00917E13" w:rsidP="009F2C13">
            <w:pPr>
              <w:rPr>
                <w:rFonts w:asciiTheme="minorHAnsi" w:hAnsiTheme="minorHAnsi" w:cs="Arial"/>
                <w:color w:val="222222"/>
                <w:sz w:val="24"/>
                <w:szCs w:val="24"/>
              </w:rPr>
            </w:pPr>
            <w:r w:rsidRPr="00917E13">
              <w:rPr>
                <w:rFonts w:asciiTheme="minorHAnsi" w:hAnsiTheme="minorHAnsi" w:cs="Arial"/>
                <w:color w:val="222222"/>
                <w:sz w:val="24"/>
                <w:szCs w:val="24"/>
              </w:rPr>
              <w:t xml:space="preserve"> Microsoft Vice President Cindy Bates gives you 10 ways to improve your disaster recovery plan.</w:t>
            </w:r>
          </w:p>
          <w:p w14:paraId="4652AE98" w14:textId="77777777" w:rsidR="00917E13" w:rsidRPr="00917E13" w:rsidRDefault="00917E13" w:rsidP="009F2C13">
            <w:pPr>
              <w:rPr>
                <w:rFonts w:asciiTheme="minorHAnsi" w:hAnsiTheme="minorHAnsi" w:cs="Arial"/>
                <w:color w:val="222222"/>
                <w:sz w:val="24"/>
                <w:szCs w:val="24"/>
              </w:rPr>
            </w:pPr>
          </w:p>
          <w:p w14:paraId="553E6100" w14:textId="0A4C3662" w:rsidR="00917E13" w:rsidRPr="00917E13" w:rsidRDefault="00687003" w:rsidP="009F2C13">
            <w:pPr>
              <w:rPr>
                <w:rStyle w:val="Hyperlink"/>
                <w:rFonts w:asciiTheme="minorHAnsi" w:hAnsiTheme="minorHAnsi" w:cs="Arial"/>
                <w:sz w:val="24"/>
                <w:szCs w:val="24"/>
              </w:rPr>
            </w:pPr>
            <w:hyperlink r:id="rId14" w:history="1">
              <w:r w:rsidR="00917E13" w:rsidRPr="00917E13">
                <w:rPr>
                  <w:rStyle w:val="Hyperlink"/>
                  <w:rFonts w:asciiTheme="minorHAnsi" w:hAnsiTheme="minorHAnsi" w:cs="Arial"/>
                  <w:sz w:val="24"/>
                  <w:szCs w:val="24"/>
                </w:rPr>
                <w:t>Read her blog here.</w:t>
              </w:r>
            </w:hyperlink>
          </w:p>
          <w:p w14:paraId="33238A06" w14:textId="77777777" w:rsidR="00917E13" w:rsidRPr="00917E13" w:rsidRDefault="00917E13" w:rsidP="009F2C13">
            <w:pPr>
              <w:rPr>
                <w:rFonts w:asciiTheme="minorHAnsi" w:hAnsiTheme="minorHAnsi" w:cs="Arial"/>
                <w:sz w:val="24"/>
                <w:szCs w:val="24"/>
              </w:rPr>
            </w:pPr>
          </w:p>
        </w:tc>
        <w:tc>
          <w:tcPr>
            <w:tcW w:w="798" w:type="dxa"/>
            <w:vAlign w:val="center"/>
          </w:tcPr>
          <w:p w14:paraId="7572DF78" w14:textId="77777777" w:rsidR="00917E13" w:rsidRPr="00917E13" w:rsidRDefault="00917E13" w:rsidP="009F2C13">
            <w:pPr>
              <w:rPr>
                <w:rFonts w:asciiTheme="minorHAnsi" w:hAnsiTheme="minorHAnsi" w:cs="Arial"/>
                <w:sz w:val="24"/>
                <w:szCs w:val="24"/>
              </w:rPr>
            </w:pPr>
          </w:p>
        </w:tc>
        <w:tc>
          <w:tcPr>
            <w:tcW w:w="1102" w:type="dxa"/>
            <w:vAlign w:val="center"/>
          </w:tcPr>
          <w:p w14:paraId="52F3EFE2"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r w:rsidR="00917E13" w:rsidRPr="00917E13" w14:paraId="689CDE22" w14:textId="77777777" w:rsidTr="009F2C13">
        <w:trPr>
          <w:jc w:val="center"/>
        </w:trPr>
        <w:tc>
          <w:tcPr>
            <w:tcW w:w="786" w:type="dxa"/>
            <w:tcBorders>
              <w:top w:val="nil"/>
              <w:left w:val="nil"/>
              <w:bottom w:val="nil"/>
              <w:right w:val="nil"/>
            </w:tcBorders>
            <w:shd w:val="clear" w:color="auto" w:fill="808080" w:themeFill="background1" w:themeFillShade="80"/>
            <w:vAlign w:val="center"/>
          </w:tcPr>
          <w:p w14:paraId="77FBE6CD"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5</w:t>
            </w:r>
          </w:p>
        </w:tc>
        <w:tc>
          <w:tcPr>
            <w:tcW w:w="611" w:type="dxa"/>
            <w:tcBorders>
              <w:left w:val="nil"/>
            </w:tcBorders>
            <w:shd w:val="clear" w:color="auto" w:fill="808080" w:themeFill="background1" w:themeFillShade="80"/>
            <w:vAlign w:val="center"/>
          </w:tcPr>
          <w:p w14:paraId="15D23D63"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shd w:val="clear" w:color="auto" w:fill="808080" w:themeFill="background1" w:themeFillShade="80"/>
            <w:vAlign w:val="center"/>
          </w:tcPr>
          <w:p w14:paraId="3D89BCA2"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shd w:val="clear" w:color="auto" w:fill="808080" w:themeFill="background1" w:themeFillShade="80"/>
            <w:vAlign w:val="center"/>
          </w:tcPr>
          <w:p w14:paraId="68165922"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3C6655BA"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shd w:val="clear" w:color="auto" w:fill="808080" w:themeFill="background1" w:themeFillShade="80"/>
            <w:vAlign w:val="center"/>
          </w:tcPr>
          <w:p w14:paraId="3CF39B62"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5BDE072B" w14:textId="77777777" w:rsidTr="009F2C13">
        <w:trPr>
          <w:jc w:val="center"/>
        </w:trPr>
        <w:tc>
          <w:tcPr>
            <w:tcW w:w="786" w:type="dxa"/>
            <w:tcBorders>
              <w:top w:val="nil"/>
              <w:left w:val="nil"/>
              <w:bottom w:val="nil"/>
              <w:right w:val="nil"/>
            </w:tcBorders>
            <w:vAlign w:val="center"/>
          </w:tcPr>
          <w:p w14:paraId="6502AEE4"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32FC5A4A"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vAlign w:val="center"/>
          </w:tcPr>
          <w:p w14:paraId="16208D38" w14:textId="77777777" w:rsidR="00917E13" w:rsidRPr="00917E13" w:rsidRDefault="00917E13" w:rsidP="009F2C13">
            <w:pPr>
              <w:rPr>
                <w:rFonts w:asciiTheme="minorHAnsi" w:hAnsiTheme="minorHAnsi" w:cs="Arial"/>
                <w:color w:val="0070C0"/>
                <w:sz w:val="24"/>
                <w:szCs w:val="24"/>
              </w:rPr>
            </w:pPr>
            <w:r w:rsidRPr="00917E13">
              <w:rPr>
                <w:rFonts w:asciiTheme="minorHAnsi" w:hAnsiTheme="minorHAnsi" w:cs="Arial"/>
                <w:color w:val="222222"/>
                <w:sz w:val="24"/>
                <w:szCs w:val="24"/>
              </w:rPr>
              <w:t>A good disaster recovery plan keeps your apps and data available during planned and unplanned downtime, with fast recovery.</w:t>
            </w:r>
          </w:p>
        </w:tc>
        <w:tc>
          <w:tcPr>
            <w:tcW w:w="798" w:type="dxa"/>
            <w:vAlign w:val="center"/>
          </w:tcPr>
          <w:p w14:paraId="79D669FE" w14:textId="77777777" w:rsidR="00917E13" w:rsidRPr="00917E13" w:rsidRDefault="00917E13" w:rsidP="009F2C13">
            <w:pPr>
              <w:rPr>
                <w:rFonts w:asciiTheme="minorHAnsi" w:hAnsiTheme="minorHAnsi" w:cs="Arial"/>
                <w:sz w:val="24"/>
                <w:szCs w:val="24"/>
              </w:rPr>
            </w:pPr>
          </w:p>
        </w:tc>
        <w:tc>
          <w:tcPr>
            <w:tcW w:w="1102" w:type="dxa"/>
            <w:vAlign w:val="center"/>
          </w:tcPr>
          <w:p w14:paraId="31AD2E82"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5C6A3513" w14:textId="77777777" w:rsidTr="009F2C13">
        <w:trPr>
          <w:trHeight w:val="782"/>
          <w:jc w:val="center"/>
        </w:trPr>
        <w:tc>
          <w:tcPr>
            <w:tcW w:w="786" w:type="dxa"/>
            <w:tcBorders>
              <w:top w:val="nil"/>
              <w:left w:val="nil"/>
              <w:bottom w:val="nil"/>
              <w:right w:val="nil"/>
            </w:tcBorders>
            <w:vAlign w:val="center"/>
          </w:tcPr>
          <w:p w14:paraId="6FC5E392"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15B847E9"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vAlign w:val="center"/>
          </w:tcPr>
          <w:p w14:paraId="59AB7076"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color w:val="000000" w:themeColor="text1"/>
                <w:sz w:val="24"/>
                <w:szCs w:val="24"/>
                <w:lang w:val="en"/>
              </w:rPr>
              <w:t>Tired of tape backups?  Azure Backup is a compelling alternative with cost savings and up to 99 years of retention.</w:t>
            </w:r>
          </w:p>
        </w:tc>
        <w:tc>
          <w:tcPr>
            <w:tcW w:w="798" w:type="dxa"/>
            <w:vAlign w:val="center"/>
          </w:tcPr>
          <w:p w14:paraId="21064F43" w14:textId="77777777" w:rsidR="00917E13" w:rsidRPr="00917E13" w:rsidRDefault="00917E13" w:rsidP="009F2C13">
            <w:pPr>
              <w:rPr>
                <w:rFonts w:asciiTheme="minorHAnsi" w:hAnsiTheme="minorHAnsi" w:cs="Arial"/>
                <w:sz w:val="24"/>
                <w:szCs w:val="24"/>
              </w:rPr>
            </w:pPr>
          </w:p>
        </w:tc>
        <w:tc>
          <w:tcPr>
            <w:tcW w:w="1102" w:type="dxa"/>
            <w:vAlign w:val="center"/>
          </w:tcPr>
          <w:p w14:paraId="0A1B8281"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14690129" w14:textId="77777777" w:rsidTr="009F2C13">
        <w:trPr>
          <w:jc w:val="center"/>
        </w:trPr>
        <w:tc>
          <w:tcPr>
            <w:tcW w:w="786" w:type="dxa"/>
            <w:tcBorders>
              <w:top w:val="nil"/>
              <w:left w:val="nil"/>
              <w:bottom w:val="nil"/>
              <w:right w:val="nil"/>
            </w:tcBorders>
            <w:vAlign w:val="center"/>
          </w:tcPr>
          <w:p w14:paraId="71830C2A"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4B76A789"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vAlign w:val="center"/>
          </w:tcPr>
          <w:p w14:paraId="22060B69"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If skyscrapers had grown at the same rates as microprocessor chip since 1971, the tallest building would reach half way to the Moon. Moore’s law predicted the growth in chips, but that’s changing. Other technology will play a bigger part in the future of computing. </w:t>
            </w:r>
          </w:p>
          <w:p w14:paraId="5CF09069" w14:textId="77777777" w:rsidR="00917E13" w:rsidRPr="00917E13" w:rsidRDefault="00917E13" w:rsidP="009F2C13">
            <w:pPr>
              <w:rPr>
                <w:rFonts w:asciiTheme="minorHAnsi" w:hAnsiTheme="minorHAnsi" w:cs="Arial"/>
                <w:sz w:val="24"/>
                <w:szCs w:val="24"/>
              </w:rPr>
            </w:pPr>
          </w:p>
          <w:p w14:paraId="13E1011C"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Read about it in this </w:t>
            </w:r>
            <w:hyperlink r:id="rId15" w:history="1">
              <w:r w:rsidRPr="00917E13">
                <w:rPr>
                  <w:rStyle w:val="Hyperlink"/>
                  <w:rFonts w:asciiTheme="minorHAnsi" w:hAnsiTheme="minorHAnsi" w:cs="Arial"/>
                  <w:sz w:val="24"/>
                  <w:szCs w:val="24"/>
                </w:rPr>
                <w:t>article from the Economist.</w:t>
              </w:r>
            </w:hyperlink>
          </w:p>
          <w:p w14:paraId="39F45767" w14:textId="77777777" w:rsidR="00917E13" w:rsidRPr="00917E13" w:rsidRDefault="00917E13" w:rsidP="009F2C13">
            <w:pPr>
              <w:rPr>
                <w:rFonts w:asciiTheme="minorHAnsi" w:hAnsiTheme="minorHAnsi" w:cs="Arial"/>
                <w:sz w:val="24"/>
                <w:szCs w:val="24"/>
              </w:rPr>
            </w:pPr>
          </w:p>
        </w:tc>
        <w:tc>
          <w:tcPr>
            <w:tcW w:w="798" w:type="dxa"/>
            <w:vAlign w:val="center"/>
          </w:tcPr>
          <w:p w14:paraId="6DC9E827" w14:textId="77777777" w:rsidR="00917E13" w:rsidRPr="00917E13" w:rsidRDefault="00917E13" w:rsidP="009F2C13">
            <w:pPr>
              <w:rPr>
                <w:rFonts w:asciiTheme="minorHAnsi" w:hAnsiTheme="minorHAnsi" w:cs="Arial"/>
                <w:sz w:val="24"/>
                <w:szCs w:val="24"/>
              </w:rPr>
            </w:pPr>
          </w:p>
        </w:tc>
        <w:tc>
          <w:tcPr>
            <w:tcW w:w="1102" w:type="dxa"/>
            <w:vAlign w:val="center"/>
          </w:tcPr>
          <w:p w14:paraId="75DC02EC"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r w:rsidR="00917E13" w:rsidRPr="00917E13" w14:paraId="35699BA0" w14:textId="77777777" w:rsidTr="009F2C13">
        <w:trPr>
          <w:jc w:val="center"/>
        </w:trPr>
        <w:tc>
          <w:tcPr>
            <w:tcW w:w="786" w:type="dxa"/>
            <w:tcBorders>
              <w:top w:val="nil"/>
              <w:left w:val="nil"/>
              <w:bottom w:val="nil"/>
              <w:right w:val="nil"/>
            </w:tcBorders>
            <w:shd w:val="clear" w:color="auto" w:fill="808080" w:themeFill="background1" w:themeFillShade="80"/>
            <w:vAlign w:val="center"/>
          </w:tcPr>
          <w:p w14:paraId="1B5E4B40"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Week 6</w:t>
            </w:r>
          </w:p>
        </w:tc>
        <w:tc>
          <w:tcPr>
            <w:tcW w:w="611" w:type="dxa"/>
            <w:tcBorders>
              <w:left w:val="nil"/>
            </w:tcBorders>
            <w:shd w:val="clear" w:color="auto" w:fill="808080" w:themeFill="background1" w:themeFillShade="80"/>
            <w:vAlign w:val="center"/>
          </w:tcPr>
          <w:p w14:paraId="0B79A96D"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Day</w:t>
            </w:r>
          </w:p>
        </w:tc>
        <w:tc>
          <w:tcPr>
            <w:tcW w:w="6415" w:type="dxa"/>
            <w:shd w:val="clear" w:color="auto" w:fill="808080" w:themeFill="background1" w:themeFillShade="80"/>
            <w:vAlign w:val="center"/>
          </w:tcPr>
          <w:p w14:paraId="55655F89"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Facebook post</w:t>
            </w:r>
          </w:p>
        </w:tc>
        <w:tc>
          <w:tcPr>
            <w:tcW w:w="798" w:type="dxa"/>
            <w:shd w:val="clear" w:color="auto" w:fill="808080" w:themeFill="background1" w:themeFillShade="80"/>
            <w:vAlign w:val="center"/>
          </w:tcPr>
          <w:p w14:paraId="2D0EF9AA"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CTA</w:t>
            </w:r>
          </w:p>
          <w:p w14:paraId="328CC201" w14:textId="77777777" w:rsidR="00917E13" w:rsidRPr="00917E13" w:rsidRDefault="00917E13" w:rsidP="009F2C13">
            <w:pP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(TBD)</w:t>
            </w:r>
          </w:p>
        </w:tc>
        <w:tc>
          <w:tcPr>
            <w:tcW w:w="1102" w:type="dxa"/>
            <w:shd w:val="clear" w:color="auto" w:fill="808080" w:themeFill="background1" w:themeFillShade="80"/>
            <w:vAlign w:val="center"/>
          </w:tcPr>
          <w:p w14:paraId="5CFB72A2" w14:textId="77777777" w:rsidR="00917E13" w:rsidRPr="00917E13" w:rsidRDefault="00917E13" w:rsidP="009F2C13">
            <w:pPr>
              <w:jc w:val="center"/>
              <w:rPr>
                <w:rFonts w:asciiTheme="minorHAnsi" w:hAnsiTheme="minorHAnsi" w:cs="Arial"/>
                <w:b/>
                <w:color w:val="FFFFFF" w:themeColor="background1"/>
                <w:sz w:val="24"/>
                <w:szCs w:val="24"/>
              </w:rPr>
            </w:pPr>
            <w:r w:rsidRPr="00917E13">
              <w:rPr>
                <w:rFonts w:asciiTheme="minorHAnsi" w:hAnsiTheme="minorHAnsi" w:cs="Arial"/>
                <w:b/>
                <w:color w:val="FFFFFF" w:themeColor="background1"/>
                <w:sz w:val="24"/>
                <w:szCs w:val="24"/>
              </w:rPr>
              <w:t>Curated?</w:t>
            </w:r>
          </w:p>
        </w:tc>
      </w:tr>
      <w:tr w:rsidR="00917E13" w:rsidRPr="00917E13" w14:paraId="42A4DA38" w14:textId="77777777" w:rsidTr="009F2C13">
        <w:trPr>
          <w:jc w:val="center"/>
        </w:trPr>
        <w:tc>
          <w:tcPr>
            <w:tcW w:w="786" w:type="dxa"/>
            <w:tcBorders>
              <w:top w:val="nil"/>
              <w:left w:val="nil"/>
              <w:bottom w:val="nil"/>
              <w:right w:val="nil"/>
            </w:tcBorders>
            <w:vAlign w:val="center"/>
          </w:tcPr>
          <w:p w14:paraId="2F841CBF"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7A4F9A22"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2</w:t>
            </w:r>
          </w:p>
        </w:tc>
        <w:tc>
          <w:tcPr>
            <w:tcW w:w="6415" w:type="dxa"/>
            <w:vAlign w:val="center"/>
          </w:tcPr>
          <w:p w14:paraId="5AD906E2"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We help businesses use the cloud to forecast, manage, and respond quickly to change. Let’s talk!</w:t>
            </w:r>
          </w:p>
        </w:tc>
        <w:tc>
          <w:tcPr>
            <w:tcW w:w="798" w:type="dxa"/>
            <w:vAlign w:val="center"/>
          </w:tcPr>
          <w:p w14:paraId="52E9E1BE" w14:textId="77777777" w:rsidR="00917E13" w:rsidRPr="00917E13" w:rsidRDefault="00917E13" w:rsidP="009F2C13">
            <w:pPr>
              <w:rPr>
                <w:rFonts w:asciiTheme="minorHAnsi" w:hAnsiTheme="minorHAnsi" w:cs="Arial"/>
                <w:sz w:val="24"/>
                <w:szCs w:val="24"/>
              </w:rPr>
            </w:pPr>
          </w:p>
        </w:tc>
        <w:tc>
          <w:tcPr>
            <w:tcW w:w="1102" w:type="dxa"/>
            <w:vAlign w:val="center"/>
          </w:tcPr>
          <w:p w14:paraId="71862776"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010A76F7" w14:textId="77777777" w:rsidTr="009F2C13">
        <w:trPr>
          <w:jc w:val="center"/>
        </w:trPr>
        <w:tc>
          <w:tcPr>
            <w:tcW w:w="786" w:type="dxa"/>
            <w:tcBorders>
              <w:top w:val="nil"/>
              <w:left w:val="nil"/>
              <w:bottom w:val="nil"/>
              <w:right w:val="nil"/>
            </w:tcBorders>
            <w:vAlign w:val="center"/>
          </w:tcPr>
          <w:p w14:paraId="49547607"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4840C2A9"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3</w:t>
            </w:r>
          </w:p>
        </w:tc>
        <w:tc>
          <w:tcPr>
            <w:tcW w:w="6415" w:type="dxa"/>
            <w:vAlign w:val="center"/>
          </w:tcPr>
          <w:p w14:paraId="7778983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There are </w:t>
            </w:r>
            <w:r w:rsidRPr="00917E13">
              <w:rPr>
                <w:rFonts w:asciiTheme="minorHAnsi" w:hAnsiTheme="minorHAnsi" w:cs="Arial"/>
                <w:sz w:val="24"/>
                <w:szCs w:val="24"/>
                <w:highlight w:val="yellow"/>
              </w:rPr>
              <w:t>[x</w:t>
            </w:r>
            <w:proofErr w:type="gramStart"/>
            <w:r w:rsidRPr="00917E13">
              <w:rPr>
                <w:rFonts w:asciiTheme="minorHAnsi" w:hAnsiTheme="minorHAnsi" w:cs="Arial"/>
                <w:sz w:val="24"/>
                <w:szCs w:val="24"/>
                <w:highlight w:val="yellow"/>
              </w:rPr>
              <w:t>]</w:t>
            </w:r>
            <w:r w:rsidRPr="00917E13">
              <w:rPr>
                <w:rFonts w:asciiTheme="minorHAnsi" w:hAnsiTheme="minorHAnsi" w:cs="Arial"/>
                <w:sz w:val="24"/>
                <w:szCs w:val="24"/>
                <w:vertAlign w:val="superscript"/>
              </w:rPr>
              <w:t>1</w:t>
            </w:r>
            <w:proofErr w:type="gramEnd"/>
            <w:r w:rsidRPr="00917E13">
              <w:rPr>
                <w:rFonts w:asciiTheme="minorHAnsi" w:hAnsiTheme="minorHAnsi" w:cs="Arial"/>
                <w:sz w:val="24"/>
                <w:szCs w:val="24"/>
              </w:rPr>
              <w:t xml:space="preserve"> key tasks you need to complete to protect your business from cybercrime, natural disasters, man-made glitches and Murphy’s Law. Find out how to prepare.</w:t>
            </w:r>
          </w:p>
        </w:tc>
        <w:tc>
          <w:tcPr>
            <w:tcW w:w="798" w:type="dxa"/>
            <w:vAlign w:val="center"/>
          </w:tcPr>
          <w:p w14:paraId="68759455" w14:textId="77777777" w:rsidR="00917E13" w:rsidRPr="00917E13" w:rsidRDefault="00917E13" w:rsidP="009F2C13">
            <w:pPr>
              <w:rPr>
                <w:rFonts w:asciiTheme="minorHAnsi" w:hAnsiTheme="minorHAnsi" w:cs="Arial"/>
                <w:sz w:val="24"/>
                <w:szCs w:val="24"/>
              </w:rPr>
            </w:pPr>
          </w:p>
        </w:tc>
        <w:tc>
          <w:tcPr>
            <w:tcW w:w="1102" w:type="dxa"/>
            <w:vAlign w:val="center"/>
          </w:tcPr>
          <w:p w14:paraId="01C86D01"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No</w:t>
            </w:r>
          </w:p>
        </w:tc>
      </w:tr>
      <w:tr w:rsidR="00917E13" w:rsidRPr="00917E13" w14:paraId="02B3DECA" w14:textId="77777777" w:rsidTr="009F2C13">
        <w:trPr>
          <w:jc w:val="center"/>
        </w:trPr>
        <w:tc>
          <w:tcPr>
            <w:tcW w:w="786" w:type="dxa"/>
            <w:tcBorders>
              <w:top w:val="nil"/>
              <w:left w:val="nil"/>
              <w:bottom w:val="nil"/>
              <w:right w:val="nil"/>
            </w:tcBorders>
            <w:vAlign w:val="center"/>
          </w:tcPr>
          <w:p w14:paraId="09828CAC" w14:textId="77777777" w:rsidR="00917E13" w:rsidRPr="00917E13" w:rsidRDefault="00917E13" w:rsidP="009F2C13">
            <w:pPr>
              <w:rPr>
                <w:rFonts w:asciiTheme="minorHAnsi" w:hAnsiTheme="minorHAnsi" w:cs="Arial"/>
                <w:color w:val="FFFFFF" w:themeColor="background1"/>
                <w:sz w:val="24"/>
                <w:szCs w:val="24"/>
              </w:rPr>
            </w:pPr>
          </w:p>
        </w:tc>
        <w:tc>
          <w:tcPr>
            <w:tcW w:w="611" w:type="dxa"/>
            <w:tcBorders>
              <w:left w:val="nil"/>
            </w:tcBorders>
            <w:vAlign w:val="center"/>
          </w:tcPr>
          <w:p w14:paraId="705B49AA"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6415" w:type="dxa"/>
            <w:vAlign w:val="center"/>
          </w:tcPr>
          <w:p w14:paraId="7925EBC2"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Planning is over, it’s time to move to the cloud. If you’ve spent the last few years researching cloud technology, it’s time for the next step. This InfoWorld article offers 4 tips for moving forward.</w:t>
            </w:r>
          </w:p>
          <w:p w14:paraId="3ED25E33" w14:textId="77777777" w:rsidR="00917E13" w:rsidRPr="00917E13" w:rsidRDefault="00917E13" w:rsidP="009F2C13">
            <w:pPr>
              <w:rPr>
                <w:rFonts w:asciiTheme="minorHAnsi" w:hAnsiTheme="minorHAnsi" w:cs="Arial"/>
                <w:sz w:val="24"/>
                <w:szCs w:val="24"/>
              </w:rPr>
            </w:pPr>
          </w:p>
          <w:p w14:paraId="27749396" w14:textId="77777777" w:rsidR="00917E13" w:rsidRPr="00917E13" w:rsidRDefault="00687003" w:rsidP="009F2C13">
            <w:pPr>
              <w:rPr>
                <w:rFonts w:asciiTheme="minorHAnsi" w:hAnsiTheme="minorHAnsi" w:cs="Arial"/>
                <w:sz w:val="24"/>
                <w:szCs w:val="24"/>
              </w:rPr>
            </w:pPr>
            <w:hyperlink r:id="rId16" w:anchor="jump" w:history="1">
              <w:r w:rsidR="00917E13" w:rsidRPr="00917E13">
                <w:rPr>
                  <w:rStyle w:val="Hyperlink"/>
                  <w:rFonts w:asciiTheme="minorHAnsi" w:hAnsiTheme="minorHAnsi" w:cs="Arial"/>
                  <w:sz w:val="24"/>
                  <w:szCs w:val="24"/>
                </w:rPr>
                <w:t>Read the article</w:t>
              </w:r>
            </w:hyperlink>
          </w:p>
          <w:p w14:paraId="3E4E98CA" w14:textId="77777777" w:rsidR="00917E13" w:rsidRPr="00917E13" w:rsidRDefault="00917E13" w:rsidP="009F2C13">
            <w:pPr>
              <w:rPr>
                <w:rFonts w:asciiTheme="minorHAnsi" w:hAnsiTheme="minorHAnsi" w:cs="Arial"/>
                <w:sz w:val="24"/>
                <w:szCs w:val="24"/>
              </w:rPr>
            </w:pPr>
          </w:p>
        </w:tc>
        <w:tc>
          <w:tcPr>
            <w:tcW w:w="798" w:type="dxa"/>
            <w:vAlign w:val="center"/>
          </w:tcPr>
          <w:p w14:paraId="6848592B" w14:textId="77777777" w:rsidR="00917E13" w:rsidRPr="00917E13" w:rsidRDefault="00917E13" w:rsidP="009F2C13">
            <w:pPr>
              <w:rPr>
                <w:rFonts w:asciiTheme="minorHAnsi" w:hAnsiTheme="minorHAnsi" w:cs="Arial"/>
                <w:sz w:val="24"/>
                <w:szCs w:val="24"/>
              </w:rPr>
            </w:pPr>
          </w:p>
        </w:tc>
        <w:tc>
          <w:tcPr>
            <w:tcW w:w="1102" w:type="dxa"/>
            <w:vAlign w:val="center"/>
          </w:tcPr>
          <w:p w14:paraId="3A91B404"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Yes</w:t>
            </w:r>
          </w:p>
        </w:tc>
      </w:tr>
    </w:tbl>
    <w:p w14:paraId="49769CFC" w14:textId="77777777" w:rsidR="00917E13" w:rsidRPr="00917E13" w:rsidRDefault="00917E13" w:rsidP="00917E13">
      <w:pPr>
        <w:rPr>
          <w:rFonts w:asciiTheme="minorHAnsi" w:hAnsiTheme="minorHAnsi" w:cs="Arial"/>
          <w:sz w:val="24"/>
          <w:szCs w:val="24"/>
        </w:rPr>
      </w:pPr>
    </w:p>
    <w:p w14:paraId="667152D4"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sz w:val="24"/>
          <w:szCs w:val="24"/>
          <w:vertAlign w:val="superscript"/>
        </w:rPr>
        <w:t>1</w:t>
      </w:r>
      <w:r w:rsidRPr="00917E13">
        <w:rPr>
          <w:rFonts w:asciiTheme="minorHAnsi" w:hAnsiTheme="minorHAnsi" w:cs="Arial"/>
          <w:sz w:val="24"/>
          <w:szCs w:val="24"/>
        </w:rPr>
        <w:t xml:space="preserve">You will add the number of key tasks in Week 6/Day 3 to map to a blog post or infographic. Or, you can just say ‘several.’ </w:t>
      </w:r>
    </w:p>
    <w:p w14:paraId="24837359" w14:textId="77777777" w:rsidR="00917E13" w:rsidRPr="00917E13" w:rsidRDefault="00917E13" w:rsidP="00917E13">
      <w:pPr>
        <w:rPr>
          <w:rFonts w:asciiTheme="minorHAnsi" w:hAnsiTheme="minorHAnsi" w:cs="Arial"/>
          <w:sz w:val="24"/>
          <w:szCs w:val="24"/>
        </w:rPr>
      </w:pPr>
    </w:p>
    <w:p w14:paraId="61ECD920" w14:textId="77777777" w:rsidR="00917E13" w:rsidRPr="00917E13" w:rsidRDefault="00917E13" w:rsidP="00917E13">
      <w:pPr>
        <w:rPr>
          <w:rFonts w:asciiTheme="minorHAnsi" w:hAnsiTheme="minorHAnsi" w:cs="Arial"/>
          <w:sz w:val="24"/>
          <w:szCs w:val="24"/>
        </w:rPr>
      </w:pPr>
    </w:p>
    <w:p w14:paraId="56527884" w14:textId="77777777" w:rsidR="00917E13" w:rsidRPr="00917E13" w:rsidRDefault="00917E13" w:rsidP="00917E13">
      <w:pPr>
        <w:rPr>
          <w:rFonts w:asciiTheme="minorHAnsi" w:hAnsiTheme="minorHAnsi" w:cs="Arial"/>
          <w:sz w:val="24"/>
          <w:szCs w:val="24"/>
        </w:rPr>
      </w:pPr>
    </w:p>
    <w:p w14:paraId="34E63C44" w14:textId="77777777" w:rsidR="00917E13" w:rsidRPr="00917E13" w:rsidRDefault="00917E13" w:rsidP="00917E13">
      <w:pPr>
        <w:rPr>
          <w:rFonts w:asciiTheme="minorHAnsi" w:hAnsiTheme="minorHAnsi" w:cs="Arial"/>
          <w:sz w:val="24"/>
          <w:szCs w:val="24"/>
        </w:rPr>
      </w:pPr>
    </w:p>
    <w:p w14:paraId="6DA5FDA1" w14:textId="77777777" w:rsidR="00917E13" w:rsidRPr="00917E13" w:rsidRDefault="00917E13" w:rsidP="00917E13">
      <w:pPr>
        <w:rPr>
          <w:rFonts w:asciiTheme="minorHAnsi" w:hAnsiTheme="minorHAnsi" w:cs="Arial"/>
          <w:color w:val="216182" w:themeColor="accent2" w:themeShade="BF"/>
          <w:sz w:val="24"/>
          <w:szCs w:val="24"/>
        </w:rPr>
      </w:pPr>
      <w:bookmarkStart w:id="1" w:name="cta"/>
      <w:r w:rsidRPr="00917E13">
        <w:rPr>
          <w:rFonts w:asciiTheme="minorHAnsi" w:hAnsiTheme="minorHAnsi" w:cs="Arial"/>
          <w:color w:val="216182" w:themeColor="accent2" w:themeShade="BF"/>
          <w:sz w:val="24"/>
          <w:szCs w:val="24"/>
        </w:rPr>
        <w:lastRenderedPageBreak/>
        <w:t>CALL TO ACTION (CTA)</w:t>
      </w:r>
    </w:p>
    <w:bookmarkEnd w:id="1"/>
    <w:p w14:paraId="140002A6"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sz w:val="24"/>
          <w:szCs w:val="24"/>
        </w:rPr>
        <w:t>Select a call to action for each of the Facebook posts, except for the curated posts. Customize it to your offer. The highlighted CTAs are the ones that will have greater impact.</w:t>
      </w:r>
    </w:p>
    <w:tbl>
      <w:tblPr>
        <w:tblStyle w:val="TableGrid"/>
        <w:tblW w:w="0" w:type="auto"/>
        <w:tblLook w:val="04A0" w:firstRow="1" w:lastRow="0" w:firstColumn="1" w:lastColumn="0" w:noHBand="0" w:noVBand="1"/>
      </w:tblPr>
      <w:tblGrid>
        <w:gridCol w:w="1145"/>
        <w:gridCol w:w="3165"/>
        <w:gridCol w:w="2068"/>
        <w:gridCol w:w="3584"/>
      </w:tblGrid>
      <w:tr w:rsidR="00917E13" w:rsidRPr="00917E13" w14:paraId="60E53008" w14:textId="77777777" w:rsidTr="009F2C13">
        <w:trPr>
          <w:trHeight w:val="683"/>
        </w:trPr>
        <w:tc>
          <w:tcPr>
            <w:tcW w:w="1165" w:type="dxa"/>
            <w:shd w:val="clear" w:color="auto" w:fill="808080" w:themeFill="background1" w:themeFillShade="80"/>
            <w:vAlign w:val="center"/>
          </w:tcPr>
          <w:p w14:paraId="5F726934" w14:textId="77777777" w:rsidR="00917E13" w:rsidRPr="00917E13" w:rsidRDefault="00917E13" w:rsidP="009F2C13">
            <w:pPr>
              <w:jc w:val="center"/>
              <w:rPr>
                <w:rFonts w:asciiTheme="minorHAnsi" w:hAnsiTheme="minorHAnsi" w:cs="Arial"/>
                <w:color w:val="FFFFFF" w:themeColor="background1"/>
                <w:sz w:val="24"/>
                <w:szCs w:val="24"/>
              </w:rPr>
            </w:pPr>
            <w:r w:rsidRPr="00917E13">
              <w:rPr>
                <w:rFonts w:asciiTheme="minorHAnsi" w:hAnsiTheme="minorHAnsi" w:cs="Arial"/>
                <w:color w:val="FFFFFF" w:themeColor="background1"/>
                <w:sz w:val="24"/>
                <w:szCs w:val="24"/>
              </w:rPr>
              <w:t>Number</w:t>
            </w:r>
          </w:p>
        </w:tc>
        <w:tc>
          <w:tcPr>
            <w:tcW w:w="3442" w:type="dxa"/>
            <w:shd w:val="clear" w:color="auto" w:fill="808080" w:themeFill="background1" w:themeFillShade="80"/>
            <w:vAlign w:val="center"/>
          </w:tcPr>
          <w:p w14:paraId="433AD3FF" w14:textId="77777777" w:rsidR="00917E13" w:rsidRPr="00917E13" w:rsidRDefault="00917E13" w:rsidP="009F2C13">
            <w:pPr>
              <w:jc w:val="center"/>
              <w:rPr>
                <w:rFonts w:asciiTheme="minorHAnsi" w:hAnsiTheme="minorHAnsi" w:cs="Arial"/>
                <w:color w:val="FFFFFF" w:themeColor="background1"/>
                <w:sz w:val="24"/>
                <w:szCs w:val="24"/>
              </w:rPr>
            </w:pPr>
            <w:r w:rsidRPr="00917E13">
              <w:rPr>
                <w:rFonts w:asciiTheme="minorHAnsi" w:hAnsiTheme="minorHAnsi" w:cs="Arial"/>
                <w:color w:val="FFFFFF" w:themeColor="background1"/>
                <w:sz w:val="24"/>
                <w:szCs w:val="24"/>
              </w:rPr>
              <w:t>CTA</w:t>
            </w:r>
          </w:p>
        </w:tc>
        <w:tc>
          <w:tcPr>
            <w:tcW w:w="2187" w:type="dxa"/>
            <w:shd w:val="clear" w:color="auto" w:fill="808080" w:themeFill="background1" w:themeFillShade="80"/>
            <w:vAlign w:val="center"/>
          </w:tcPr>
          <w:p w14:paraId="42E3AAE3" w14:textId="77777777" w:rsidR="00917E13" w:rsidRPr="00917E13" w:rsidRDefault="00917E13" w:rsidP="009F2C13">
            <w:pPr>
              <w:jc w:val="center"/>
              <w:rPr>
                <w:rFonts w:asciiTheme="minorHAnsi" w:hAnsiTheme="minorHAnsi" w:cs="Arial"/>
                <w:color w:val="FFFFFF" w:themeColor="background1"/>
                <w:sz w:val="24"/>
                <w:szCs w:val="24"/>
              </w:rPr>
            </w:pPr>
            <w:r w:rsidRPr="00917E13">
              <w:rPr>
                <w:rFonts w:asciiTheme="minorHAnsi" w:hAnsiTheme="minorHAnsi" w:cs="Arial"/>
                <w:color w:val="FFFFFF" w:themeColor="background1"/>
                <w:sz w:val="24"/>
                <w:szCs w:val="24"/>
              </w:rPr>
              <w:t>Characters</w:t>
            </w:r>
          </w:p>
        </w:tc>
        <w:tc>
          <w:tcPr>
            <w:tcW w:w="3911" w:type="dxa"/>
            <w:shd w:val="clear" w:color="auto" w:fill="808080" w:themeFill="background1" w:themeFillShade="80"/>
            <w:vAlign w:val="center"/>
          </w:tcPr>
          <w:p w14:paraId="331FAAB8" w14:textId="77777777" w:rsidR="00917E13" w:rsidRPr="00917E13" w:rsidRDefault="00917E13" w:rsidP="009F2C13">
            <w:pPr>
              <w:jc w:val="center"/>
              <w:rPr>
                <w:rFonts w:asciiTheme="minorHAnsi" w:hAnsiTheme="minorHAnsi" w:cs="Arial"/>
                <w:color w:val="FFFFFF" w:themeColor="background1"/>
                <w:sz w:val="24"/>
                <w:szCs w:val="24"/>
              </w:rPr>
            </w:pPr>
            <w:r w:rsidRPr="00917E13">
              <w:rPr>
                <w:rFonts w:asciiTheme="minorHAnsi" w:hAnsiTheme="minorHAnsi" w:cs="Arial"/>
                <w:color w:val="FFFFFF" w:themeColor="background1"/>
                <w:sz w:val="24"/>
                <w:szCs w:val="24"/>
              </w:rPr>
              <w:t>Use this</w:t>
            </w:r>
          </w:p>
        </w:tc>
      </w:tr>
      <w:tr w:rsidR="00917E13" w:rsidRPr="00917E13" w14:paraId="20F36556" w14:textId="77777777" w:rsidTr="009F2C13">
        <w:tc>
          <w:tcPr>
            <w:tcW w:w="1165" w:type="dxa"/>
          </w:tcPr>
          <w:p w14:paraId="53707EEB"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w:t>
            </w:r>
          </w:p>
        </w:tc>
        <w:tc>
          <w:tcPr>
            <w:tcW w:w="3442" w:type="dxa"/>
          </w:tcPr>
          <w:p w14:paraId="1DC1D94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Download our </w:t>
            </w:r>
            <w:proofErr w:type="spellStart"/>
            <w:r w:rsidRPr="00917E13">
              <w:rPr>
                <w:rFonts w:asciiTheme="minorHAnsi" w:hAnsiTheme="minorHAnsi" w:cs="Arial"/>
                <w:sz w:val="24"/>
                <w:szCs w:val="24"/>
              </w:rPr>
              <w:t>eGuide</w:t>
            </w:r>
            <w:proofErr w:type="spellEnd"/>
            <w:r w:rsidRPr="00917E13">
              <w:rPr>
                <w:rFonts w:asciiTheme="minorHAnsi" w:hAnsiTheme="minorHAnsi" w:cs="Arial"/>
                <w:sz w:val="24"/>
                <w:szCs w:val="24"/>
              </w:rPr>
              <w:t xml:space="preserve"> to learn more.</w:t>
            </w:r>
          </w:p>
        </w:tc>
        <w:tc>
          <w:tcPr>
            <w:tcW w:w="2187" w:type="dxa"/>
            <w:vAlign w:val="center"/>
          </w:tcPr>
          <w:p w14:paraId="30BA80AB"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19</w:t>
            </w:r>
          </w:p>
        </w:tc>
        <w:tc>
          <w:tcPr>
            <w:tcW w:w="3911" w:type="dxa"/>
          </w:tcPr>
          <w:p w14:paraId="7DE6F935"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Link directly to a gated or open </w:t>
            </w:r>
            <w:proofErr w:type="spellStart"/>
            <w:r w:rsidRPr="00917E13">
              <w:rPr>
                <w:rFonts w:asciiTheme="minorHAnsi" w:hAnsiTheme="minorHAnsi" w:cs="Arial"/>
                <w:sz w:val="24"/>
                <w:szCs w:val="24"/>
              </w:rPr>
              <w:t>eGuide</w:t>
            </w:r>
            <w:proofErr w:type="spellEnd"/>
            <w:r w:rsidRPr="00917E13">
              <w:rPr>
                <w:rFonts w:asciiTheme="minorHAnsi" w:hAnsiTheme="minorHAnsi" w:cs="Arial"/>
                <w:sz w:val="24"/>
                <w:szCs w:val="24"/>
              </w:rPr>
              <w:t xml:space="preserve"> (</w:t>
            </w:r>
            <w:proofErr w:type="spellStart"/>
            <w:r w:rsidRPr="00917E13">
              <w:rPr>
                <w:rFonts w:asciiTheme="minorHAnsi" w:hAnsiTheme="minorHAnsi" w:cs="Arial"/>
                <w:sz w:val="24"/>
                <w:szCs w:val="24"/>
              </w:rPr>
              <w:t>eGuide</w:t>
            </w:r>
            <w:proofErr w:type="spellEnd"/>
            <w:r w:rsidRPr="00917E13">
              <w:rPr>
                <w:rFonts w:asciiTheme="minorHAnsi" w:hAnsiTheme="minorHAnsi" w:cs="Arial"/>
                <w:sz w:val="24"/>
                <w:szCs w:val="24"/>
              </w:rPr>
              <w:t xml:space="preserve"> will link to a contact us)</w:t>
            </w:r>
          </w:p>
        </w:tc>
      </w:tr>
      <w:tr w:rsidR="00917E13" w:rsidRPr="00917E13" w14:paraId="3877CFBA" w14:textId="77777777" w:rsidTr="009F2C13">
        <w:tc>
          <w:tcPr>
            <w:tcW w:w="1165" w:type="dxa"/>
          </w:tcPr>
          <w:p w14:paraId="34834A1E" w14:textId="77777777" w:rsidR="00917E13" w:rsidRPr="00917E13" w:rsidRDefault="00917E13" w:rsidP="009F2C13">
            <w:pPr>
              <w:jc w:val="cente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2</w:t>
            </w:r>
          </w:p>
        </w:tc>
        <w:tc>
          <w:tcPr>
            <w:tcW w:w="3442" w:type="dxa"/>
          </w:tcPr>
          <w:p w14:paraId="2BBF2B61" w14:textId="77777777" w:rsidR="00917E13" w:rsidRPr="00917E13" w:rsidRDefault="00917E13" w:rsidP="009F2C13">
            <w:pP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Contact us</w:t>
            </w:r>
          </w:p>
        </w:tc>
        <w:tc>
          <w:tcPr>
            <w:tcW w:w="2187" w:type="dxa"/>
            <w:vAlign w:val="center"/>
          </w:tcPr>
          <w:p w14:paraId="5FEFF0D8"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10</w:t>
            </w:r>
          </w:p>
        </w:tc>
        <w:tc>
          <w:tcPr>
            <w:tcW w:w="3911" w:type="dxa"/>
          </w:tcPr>
          <w:p w14:paraId="12F768A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Link to a web page with contact information</w:t>
            </w:r>
          </w:p>
        </w:tc>
      </w:tr>
      <w:tr w:rsidR="00917E13" w:rsidRPr="00917E13" w14:paraId="172F28BC" w14:textId="77777777" w:rsidTr="009F2C13">
        <w:tc>
          <w:tcPr>
            <w:tcW w:w="1165" w:type="dxa"/>
          </w:tcPr>
          <w:p w14:paraId="6768D75A" w14:textId="77777777" w:rsidR="00917E13" w:rsidRPr="00917E13" w:rsidRDefault="00917E13" w:rsidP="009F2C13">
            <w:pPr>
              <w:jc w:val="cente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3</w:t>
            </w:r>
          </w:p>
        </w:tc>
        <w:tc>
          <w:tcPr>
            <w:tcW w:w="3442" w:type="dxa"/>
          </w:tcPr>
          <w:p w14:paraId="3C1A8E28" w14:textId="77777777" w:rsidR="00917E13" w:rsidRPr="00917E13" w:rsidRDefault="00917E13" w:rsidP="009F2C13">
            <w:pP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Join our webinar to learn how to protect your data.</w:t>
            </w:r>
          </w:p>
        </w:tc>
        <w:tc>
          <w:tcPr>
            <w:tcW w:w="2187" w:type="dxa"/>
            <w:vAlign w:val="center"/>
          </w:tcPr>
          <w:p w14:paraId="61CC750A"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16</w:t>
            </w:r>
          </w:p>
        </w:tc>
        <w:tc>
          <w:tcPr>
            <w:tcW w:w="3911" w:type="dxa"/>
          </w:tcPr>
          <w:p w14:paraId="7BB2D8AC"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This CTA should be used 2 or more times a week. You can mix it up with a Contact Us and/or Download </w:t>
            </w:r>
            <w:proofErr w:type="spellStart"/>
            <w:r w:rsidRPr="00917E13">
              <w:rPr>
                <w:rFonts w:asciiTheme="minorHAnsi" w:hAnsiTheme="minorHAnsi" w:cs="Arial"/>
                <w:sz w:val="24"/>
                <w:szCs w:val="24"/>
              </w:rPr>
              <w:t>eGuide</w:t>
            </w:r>
            <w:proofErr w:type="spellEnd"/>
            <w:r w:rsidRPr="00917E13">
              <w:rPr>
                <w:rFonts w:asciiTheme="minorHAnsi" w:hAnsiTheme="minorHAnsi" w:cs="Arial"/>
                <w:sz w:val="24"/>
                <w:szCs w:val="24"/>
              </w:rPr>
              <w:t>/ Sign up for newsletter</w:t>
            </w:r>
          </w:p>
        </w:tc>
      </w:tr>
      <w:tr w:rsidR="00917E13" w:rsidRPr="00917E13" w14:paraId="01F95919" w14:textId="77777777" w:rsidTr="009F2C13">
        <w:tc>
          <w:tcPr>
            <w:tcW w:w="1165" w:type="dxa"/>
          </w:tcPr>
          <w:p w14:paraId="073A7DA8"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4</w:t>
            </w:r>
          </w:p>
        </w:tc>
        <w:tc>
          <w:tcPr>
            <w:tcW w:w="3442" w:type="dxa"/>
          </w:tcPr>
          <w:p w14:paraId="69F342D6"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Learn more </w:t>
            </w:r>
          </w:p>
        </w:tc>
        <w:tc>
          <w:tcPr>
            <w:tcW w:w="2187" w:type="dxa"/>
            <w:vAlign w:val="center"/>
          </w:tcPr>
          <w:p w14:paraId="3457FD69"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11</w:t>
            </w:r>
          </w:p>
        </w:tc>
        <w:tc>
          <w:tcPr>
            <w:tcW w:w="3911" w:type="dxa"/>
          </w:tcPr>
          <w:p w14:paraId="2EA16DAD"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Blog post or link to a gated </w:t>
            </w:r>
            <w:proofErr w:type="spellStart"/>
            <w:r w:rsidRPr="00917E13">
              <w:rPr>
                <w:rFonts w:asciiTheme="minorHAnsi" w:hAnsiTheme="minorHAnsi" w:cs="Arial"/>
                <w:sz w:val="24"/>
                <w:szCs w:val="24"/>
              </w:rPr>
              <w:t>eGuide</w:t>
            </w:r>
            <w:proofErr w:type="spellEnd"/>
          </w:p>
        </w:tc>
      </w:tr>
      <w:tr w:rsidR="00917E13" w:rsidRPr="00917E13" w14:paraId="6868C79B" w14:textId="77777777" w:rsidTr="009F2C13">
        <w:tc>
          <w:tcPr>
            <w:tcW w:w="1165" w:type="dxa"/>
          </w:tcPr>
          <w:p w14:paraId="55DBBFFD"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6</w:t>
            </w:r>
          </w:p>
        </w:tc>
        <w:tc>
          <w:tcPr>
            <w:tcW w:w="3442" w:type="dxa"/>
          </w:tcPr>
          <w:p w14:paraId="6A6137AF"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Find out how</w:t>
            </w:r>
          </w:p>
        </w:tc>
        <w:tc>
          <w:tcPr>
            <w:tcW w:w="2187" w:type="dxa"/>
            <w:vAlign w:val="center"/>
          </w:tcPr>
          <w:p w14:paraId="2EA21F33"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12</w:t>
            </w:r>
          </w:p>
        </w:tc>
        <w:tc>
          <w:tcPr>
            <w:tcW w:w="3911" w:type="dxa"/>
          </w:tcPr>
          <w:p w14:paraId="1C93AD37"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 xml:space="preserve">Link to </w:t>
            </w:r>
            <w:proofErr w:type="spellStart"/>
            <w:r w:rsidRPr="00917E13">
              <w:rPr>
                <w:rFonts w:asciiTheme="minorHAnsi" w:hAnsiTheme="minorHAnsi" w:cs="Arial"/>
                <w:sz w:val="24"/>
                <w:szCs w:val="24"/>
              </w:rPr>
              <w:t>eGuide</w:t>
            </w:r>
            <w:proofErr w:type="spellEnd"/>
            <w:r w:rsidRPr="00917E13">
              <w:rPr>
                <w:rFonts w:asciiTheme="minorHAnsi" w:hAnsiTheme="minorHAnsi" w:cs="Arial"/>
                <w:sz w:val="24"/>
                <w:szCs w:val="24"/>
              </w:rPr>
              <w:t>, gated or just on website, or to a contact us page</w:t>
            </w:r>
          </w:p>
        </w:tc>
      </w:tr>
      <w:tr w:rsidR="00917E13" w:rsidRPr="00917E13" w14:paraId="0C6560E1" w14:textId="77777777" w:rsidTr="009F2C13">
        <w:tc>
          <w:tcPr>
            <w:tcW w:w="1165" w:type="dxa"/>
          </w:tcPr>
          <w:p w14:paraId="16BE8118" w14:textId="77777777" w:rsidR="00917E13" w:rsidRPr="00917E13" w:rsidRDefault="00917E13" w:rsidP="009F2C13">
            <w:pPr>
              <w:jc w:val="cente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7</w:t>
            </w:r>
          </w:p>
        </w:tc>
        <w:tc>
          <w:tcPr>
            <w:tcW w:w="3442" w:type="dxa"/>
          </w:tcPr>
          <w:p w14:paraId="256B2BE5" w14:textId="77777777" w:rsidR="00917E13" w:rsidRPr="00917E13" w:rsidRDefault="00917E13" w:rsidP="009F2C13">
            <w:pPr>
              <w:rPr>
                <w:rFonts w:asciiTheme="minorHAnsi" w:hAnsiTheme="minorHAnsi" w:cs="Arial"/>
                <w:b/>
                <w:color w:val="216182" w:themeColor="accent2" w:themeShade="BF"/>
                <w:sz w:val="24"/>
                <w:szCs w:val="24"/>
              </w:rPr>
            </w:pPr>
            <w:r w:rsidRPr="00917E13">
              <w:rPr>
                <w:rFonts w:asciiTheme="minorHAnsi" w:hAnsiTheme="minorHAnsi" w:cs="Arial"/>
                <w:b/>
                <w:color w:val="216182" w:themeColor="accent2" w:themeShade="BF"/>
                <w:sz w:val="24"/>
                <w:szCs w:val="24"/>
              </w:rPr>
              <w:t>Sign up for our newsletter to stay informed.</w:t>
            </w:r>
          </w:p>
        </w:tc>
        <w:tc>
          <w:tcPr>
            <w:tcW w:w="2187" w:type="dxa"/>
            <w:vAlign w:val="center"/>
          </w:tcPr>
          <w:p w14:paraId="1B7FB02F" w14:textId="77777777" w:rsidR="00917E13" w:rsidRPr="00917E13" w:rsidRDefault="00917E13" w:rsidP="009F2C13">
            <w:pPr>
              <w:jc w:val="center"/>
              <w:rPr>
                <w:rFonts w:asciiTheme="minorHAnsi" w:hAnsiTheme="minorHAnsi" w:cs="Arial"/>
                <w:sz w:val="24"/>
                <w:szCs w:val="24"/>
              </w:rPr>
            </w:pPr>
            <w:r w:rsidRPr="00917E13">
              <w:rPr>
                <w:rFonts w:asciiTheme="minorHAnsi" w:hAnsiTheme="minorHAnsi" w:cs="Arial"/>
                <w:sz w:val="24"/>
                <w:szCs w:val="24"/>
              </w:rPr>
              <w:t>18</w:t>
            </w:r>
          </w:p>
        </w:tc>
        <w:tc>
          <w:tcPr>
            <w:tcW w:w="3911" w:type="dxa"/>
          </w:tcPr>
          <w:p w14:paraId="0C96B333" w14:textId="77777777" w:rsidR="00917E13" w:rsidRPr="00917E13" w:rsidRDefault="00917E13" w:rsidP="009F2C13">
            <w:pPr>
              <w:rPr>
                <w:rFonts w:asciiTheme="minorHAnsi" w:hAnsiTheme="minorHAnsi" w:cs="Arial"/>
                <w:sz w:val="24"/>
                <w:szCs w:val="24"/>
              </w:rPr>
            </w:pPr>
            <w:r w:rsidRPr="00917E13">
              <w:rPr>
                <w:rFonts w:asciiTheme="minorHAnsi" w:hAnsiTheme="minorHAnsi" w:cs="Arial"/>
                <w:sz w:val="24"/>
                <w:szCs w:val="24"/>
              </w:rPr>
              <w:t>This, the contact us and the webinar are 3 #1 CTAs.</w:t>
            </w:r>
          </w:p>
        </w:tc>
      </w:tr>
    </w:tbl>
    <w:p w14:paraId="284257CE" w14:textId="77777777" w:rsidR="00917E13" w:rsidRPr="00917E13" w:rsidRDefault="00917E13" w:rsidP="00917E13">
      <w:pPr>
        <w:rPr>
          <w:rFonts w:asciiTheme="minorHAnsi" w:hAnsiTheme="minorHAnsi" w:cs="Arial"/>
          <w:sz w:val="24"/>
          <w:szCs w:val="24"/>
        </w:rPr>
      </w:pPr>
    </w:p>
    <w:p w14:paraId="0D47504B" w14:textId="77777777" w:rsidR="00917E13" w:rsidRPr="00917E13" w:rsidRDefault="00917E13" w:rsidP="00917E13">
      <w:pPr>
        <w:rPr>
          <w:rFonts w:asciiTheme="minorHAnsi" w:hAnsiTheme="minorHAnsi" w:cs="Arial"/>
          <w:sz w:val="24"/>
          <w:szCs w:val="24"/>
        </w:rPr>
      </w:pPr>
      <w:bookmarkStart w:id="2" w:name="image"/>
      <w:r w:rsidRPr="00917E13">
        <w:rPr>
          <w:rFonts w:asciiTheme="minorHAnsi" w:hAnsiTheme="minorHAnsi" w:cs="Arial"/>
          <w:color w:val="216182" w:themeColor="accent2" w:themeShade="BF"/>
          <w:sz w:val="24"/>
          <w:szCs w:val="24"/>
        </w:rPr>
        <w:t>Image Use</w:t>
      </w:r>
      <w:r w:rsidRPr="00917E13">
        <w:rPr>
          <w:rFonts w:asciiTheme="minorHAnsi" w:hAnsiTheme="minorHAnsi" w:cs="Arial"/>
          <w:sz w:val="24"/>
          <w:szCs w:val="24"/>
        </w:rPr>
        <w:t xml:space="preserve"> </w:t>
      </w:r>
    </w:p>
    <w:bookmarkEnd w:id="2"/>
    <w:p w14:paraId="03E012B5" w14:textId="77777777" w:rsidR="00917E13" w:rsidRPr="00917E13" w:rsidRDefault="00917E13" w:rsidP="00917E13">
      <w:pPr>
        <w:rPr>
          <w:rFonts w:asciiTheme="minorHAnsi" w:hAnsiTheme="minorHAnsi" w:cs="Arial"/>
          <w:color w:val="216182" w:themeColor="accent2" w:themeShade="BF"/>
          <w:sz w:val="24"/>
          <w:szCs w:val="24"/>
        </w:rPr>
      </w:pPr>
      <w:r w:rsidRPr="00917E13">
        <w:rPr>
          <w:rFonts w:asciiTheme="minorHAnsi" w:hAnsiTheme="minorHAnsi" w:cs="Arial"/>
          <w:sz w:val="24"/>
          <w:szCs w:val="24"/>
        </w:rPr>
        <w:t xml:space="preserve">Use our images or create new ones. We’ve included links to the original images if you want to change the text or the fonts in the </w:t>
      </w:r>
      <w:r w:rsidRPr="00917E13">
        <w:rPr>
          <w:rFonts w:asciiTheme="minorHAnsi" w:hAnsiTheme="minorHAnsi" w:cs="Arial"/>
          <w:b/>
          <w:sz w:val="24"/>
          <w:szCs w:val="24"/>
        </w:rPr>
        <w:t>Tweet Sheet</w:t>
      </w:r>
      <w:r w:rsidRPr="00917E13">
        <w:rPr>
          <w:rFonts w:asciiTheme="minorHAnsi" w:hAnsiTheme="minorHAnsi" w:cs="Arial"/>
          <w:sz w:val="24"/>
          <w:szCs w:val="24"/>
        </w:rPr>
        <w:t xml:space="preserve">. We used </w:t>
      </w:r>
      <w:proofErr w:type="spellStart"/>
      <w:r w:rsidRPr="00917E13">
        <w:rPr>
          <w:rFonts w:asciiTheme="minorHAnsi" w:hAnsiTheme="minorHAnsi" w:cs="Arial"/>
          <w:sz w:val="24"/>
          <w:szCs w:val="24"/>
        </w:rPr>
        <w:t>Raleway</w:t>
      </w:r>
      <w:proofErr w:type="spellEnd"/>
      <w:r w:rsidRPr="00917E13">
        <w:rPr>
          <w:rFonts w:asciiTheme="minorHAnsi" w:hAnsiTheme="minorHAnsi" w:cs="Arial"/>
          <w:sz w:val="24"/>
          <w:szCs w:val="24"/>
        </w:rPr>
        <w:t xml:space="preserve"> font for the text on the images. The images can be resized, or you can use as is. They were originally sized for Twitter.</w:t>
      </w:r>
    </w:p>
    <w:p w14:paraId="463A6BD7" w14:textId="77777777" w:rsidR="00917E13" w:rsidRPr="00917E13" w:rsidRDefault="00917E13" w:rsidP="00917E13">
      <w:pPr>
        <w:rPr>
          <w:rFonts w:asciiTheme="minorHAnsi" w:hAnsiTheme="minorHAnsi" w:cs="Arial"/>
          <w:b/>
          <w:sz w:val="24"/>
          <w:szCs w:val="24"/>
        </w:rPr>
      </w:pPr>
      <w:r w:rsidRPr="00917E13">
        <w:rPr>
          <w:rFonts w:asciiTheme="minorHAnsi" w:hAnsiTheme="minorHAnsi" w:cs="Arial"/>
          <w:b/>
          <w:sz w:val="24"/>
          <w:szCs w:val="24"/>
        </w:rPr>
        <w:t>EXAMPLE</w:t>
      </w:r>
    </w:p>
    <w:p w14:paraId="4A47F8E3" w14:textId="77777777" w:rsidR="00917E13" w:rsidRPr="00917E13" w:rsidRDefault="00917E13" w:rsidP="00917E13">
      <w:pPr>
        <w:rPr>
          <w:rFonts w:asciiTheme="minorHAnsi" w:hAnsiTheme="minorHAnsi" w:cs="Arial"/>
          <w:sz w:val="24"/>
          <w:szCs w:val="24"/>
        </w:rPr>
      </w:pPr>
      <w:r w:rsidRPr="00917E13">
        <w:rPr>
          <w:rFonts w:asciiTheme="minorHAnsi" w:hAnsiTheme="minorHAnsi" w:cs="Arial"/>
          <w:noProof/>
          <w:sz w:val="24"/>
          <w:szCs w:val="24"/>
        </w:rPr>
        <w:lastRenderedPageBreak/>
        <w:drawing>
          <wp:inline distT="0" distB="0" distL="0" distR="0" wp14:anchorId="4623F7E1" wp14:editId="6CE93D4A">
            <wp:extent cx="4667250"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7250" cy="5162550"/>
                    </a:xfrm>
                    <a:prstGeom prst="rect">
                      <a:avLst/>
                    </a:prstGeom>
                  </pic:spPr>
                </pic:pic>
              </a:graphicData>
            </a:graphic>
          </wp:inline>
        </w:drawing>
      </w:r>
    </w:p>
    <w:p w14:paraId="1D072A42" w14:textId="166709AC" w:rsidR="00F34C0D" w:rsidRPr="00917E13" w:rsidRDefault="00F34C0D" w:rsidP="00AF631A">
      <w:pPr>
        <w:rPr>
          <w:rFonts w:asciiTheme="minorHAnsi" w:hAnsiTheme="minorHAnsi" w:cs="Arial"/>
          <w:sz w:val="24"/>
          <w:szCs w:val="24"/>
        </w:rPr>
      </w:pPr>
    </w:p>
    <w:sectPr w:rsidR="00F34C0D" w:rsidRPr="00917E13" w:rsidSect="003E4A92">
      <w:headerReference w:type="default" r:id="rId18"/>
      <w:footerReference w:type="default" r:id="rId19"/>
      <w:headerReference w:type="first" r:id="rId20"/>
      <w:footerReference w:type="first" r:id="rId21"/>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D4093" w14:textId="77777777" w:rsidR="00687003" w:rsidRDefault="00687003">
      <w:r>
        <w:separator/>
      </w:r>
    </w:p>
  </w:endnote>
  <w:endnote w:type="continuationSeparator" w:id="0">
    <w:p w14:paraId="154647ED" w14:textId="77777777" w:rsidR="00687003" w:rsidRDefault="0068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rutigerLTPro-Ligh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9E6755">
                            <w:rPr>
                              <w:rFonts w:ascii="Tahoma" w:hAnsi="Tahoma" w:cs="Tahoma"/>
                              <w:noProof/>
                              <w:color w:val="262626" w:themeColor="text1" w:themeTint="D9"/>
                              <w:spacing w:val="10"/>
                              <w:sz w:val="18"/>
                              <w:szCs w:val="18"/>
                              <w:lang w:val="en-CA"/>
                            </w:rPr>
                            <w:t>5</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D91659" id="_x0000_t202" coordsize="21600,21600" o:spt="202" path="m,l,21600r21600,l21600,xe">
              <v:stroke joinstyle="miter"/>
              <v:path gradientshapeok="t" o:connecttype="rect"/>
            </v:shapetype>
            <v:shape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9E6755">
                      <w:rPr>
                        <w:rFonts w:ascii="Tahoma" w:hAnsi="Tahoma" w:cs="Tahoma"/>
                        <w:noProof/>
                        <w:color w:val="262626" w:themeColor="text1" w:themeTint="D9"/>
                        <w:spacing w:val="10"/>
                        <w:sz w:val="18"/>
                        <w:szCs w:val="18"/>
                        <w:lang w:val="en-CA"/>
                      </w:rPr>
                      <w:t>5</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9E6755">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99D2C0" id="_x0000_t202" coordsize="21600,21600" o:spt="202" path="m,l,21600r21600,l21600,xe">
              <v:stroke joinstyle="miter"/>
              <v:path gradientshapeok="t" o:connecttype="rect"/>
            </v:shapetype>
            <v:shape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9E6755">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2E5B1" w14:textId="77777777" w:rsidR="00687003" w:rsidRDefault="00687003">
      <w:r>
        <w:separator/>
      </w:r>
    </w:p>
  </w:footnote>
  <w:footnote w:type="continuationSeparator" w:id="0">
    <w:p w14:paraId="2344232A" w14:textId="77777777" w:rsidR="00687003" w:rsidRDefault="00687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FCF"/>
    <w:multiLevelType w:val="hybridMultilevel"/>
    <w:tmpl w:val="753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4"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5"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8" w15:restartNumberingAfterBreak="0">
    <w:nsid w:val="27A92A89"/>
    <w:multiLevelType w:val="hybridMultilevel"/>
    <w:tmpl w:val="2CE6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3"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6"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7"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6"/>
  </w:num>
  <w:num w:numId="4">
    <w:abstractNumId w:val="15"/>
  </w:num>
  <w:num w:numId="5">
    <w:abstractNumId w:val="12"/>
  </w:num>
  <w:num w:numId="6">
    <w:abstractNumId w:val="4"/>
  </w:num>
  <w:num w:numId="7">
    <w:abstractNumId w:val="18"/>
  </w:num>
  <w:num w:numId="8">
    <w:abstractNumId w:val="6"/>
  </w:num>
  <w:num w:numId="9">
    <w:abstractNumId w:val="14"/>
  </w:num>
  <w:num w:numId="10">
    <w:abstractNumId w:val="5"/>
  </w:num>
  <w:num w:numId="11">
    <w:abstractNumId w:val="11"/>
  </w:num>
  <w:num w:numId="12">
    <w:abstractNumId w:val="1"/>
  </w:num>
  <w:num w:numId="13">
    <w:abstractNumId w:val="9"/>
  </w:num>
  <w:num w:numId="14">
    <w:abstractNumId w:val="13"/>
  </w:num>
  <w:num w:numId="15">
    <w:abstractNumId w:val="17"/>
  </w:num>
  <w:num w:numId="16">
    <w:abstractNumId w:val="10"/>
  </w:num>
  <w:num w:numId="17">
    <w:abstractNumId w:val="2"/>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960A6"/>
    <w:rsid w:val="00320791"/>
    <w:rsid w:val="0033454B"/>
    <w:rsid w:val="00343F60"/>
    <w:rsid w:val="00357FA8"/>
    <w:rsid w:val="0036154D"/>
    <w:rsid w:val="00390B0B"/>
    <w:rsid w:val="003940CD"/>
    <w:rsid w:val="003E4A92"/>
    <w:rsid w:val="00411C29"/>
    <w:rsid w:val="0043440B"/>
    <w:rsid w:val="0045414E"/>
    <w:rsid w:val="00532653"/>
    <w:rsid w:val="005978DB"/>
    <w:rsid w:val="00687003"/>
    <w:rsid w:val="006A36CC"/>
    <w:rsid w:val="006C5FCA"/>
    <w:rsid w:val="00700566"/>
    <w:rsid w:val="00716C1B"/>
    <w:rsid w:val="00730466"/>
    <w:rsid w:val="00773118"/>
    <w:rsid w:val="00781C38"/>
    <w:rsid w:val="007833BC"/>
    <w:rsid w:val="00852830"/>
    <w:rsid w:val="00863342"/>
    <w:rsid w:val="00863C1D"/>
    <w:rsid w:val="008F206B"/>
    <w:rsid w:val="00917E13"/>
    <w:rsid w:val="009842D2"/>
    <w:rsid w:val="009D515C"/>
    <w:rsid w:val="009E6755"/>
    <w:rsid w:val="009F2CA0"/>
    <w:rsid w:val="00A06FF1"/>
    <w:rsid w:val="00A51E3F"/>
    <w:rsid w:val="00A53584"/>
    <w:rsid w:val="00A85CBD"/>
    <w:rsid w:val="00AF631A"/>
    <w:rsid w:val="00B34282"/>
    <w:rsid w:val="00B37F58"/>
    <w:rsid w:val="00B443BF"/>
    <w:rsid w:val="00BD530D"/>
    <w:rsid w:val="00C32C0C"/>
    <w:rsid w:val="00C661C4"/>
    <w:rsid w:val="00CA1490"/>
    <w:rsid w:val="00CC304D"/>
    <w:rsid w:val="00D81446"/>
    <w:rsid w:val="00DC7144"/>
    <w:rsid w:val="00E6477B"/>
    <w:rsid w:val="00E73E1E"/>
    <w:rsid w:val="00E76A61"/>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TableGrid">
    <w:name w:val="Table Grid"/>
    <w:basedOn w:val="TableNormal"/>
    <w:uiPriority w:val="39"/>
    <w:rsid w:val="00917E13"/>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ntrepreneur.com/article/27547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blogs.cfainstitute.org/marketintegrity/2016/11/07/advisers-beware-create-business-continuity-plans-or-risk-committing-fraud/?s_cid=smo_CFASocial_FB"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infoworld.com/article/3152871/cloud-computing/planning-is-over-its-time-to-actually-move-to-the-cloud.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sinessinsurance.com/article/20170104/NEWS06/912311249/Natural-catastrophe-global-costs-2016-Japan-quakes-Hurricane-Matthew?utm_campaign=BI20170104DailyBriefing" TargetMode="External"/><Relationship Id="rId5" Type="http://schemas.openxmlformats.org/officeDocument/2006/relationships/styles" Target="styles.xml"/><Relationship Id="rId15" Type="http://schemas.openxmlformats.org/officeDocument/2006/relationships/hyperlink" Target="http://www.economist.com/news/leaders/21694528-era-predictable-improvement-computer-hardware-ending-what-comes-next-futur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logs.business.microsoft.com/en-us/2017/01/05/improve-disaster-recovery-preparedness/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3.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3</cp:revision>
  <dcterms:created xsi:type="dcterms:W3CDTF">2017-06-19T16:53:00Z</dcterms:created>
  <dcterms:modified xsi:type="dcterms:W3CDTF">2017-06-19T16:58:00Z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